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spacing w:before="156" w:beforeLines="50" w:after="156" w:afterLines="50"/>
        <w:jc w:val="center"/>
        <w:outlineLvl w:val="0"/>
        <w:rPr>
          <w:rFonts w:hint="eastAsia" w:ascii="黑体" w:hAnsi="宋体" w:eastAsia="黑体" w:cs="宋体"/>
          <w:sz w:val="32"/>
          <w:szCs w:val="32"/>
        </w:rPr>
      </w:pPr>
      <w:r>
        <w:rPr>
          <w:rFonts w:hint="eastAsia" w:ascii="黑体" w:hAnsi="宋体" w:eastAsia="黑体" w:cs="宋体"/>
          <w:sz w:val="32"/>
          <w:szCs w:val="32"/>
        </w:rPr>
        <w:t>神东煤炭集团OPC Server服务器配套软件采购</w:t>
      </w:r>
    </w:p>
    <w:p>
      <w:pPr>
        <w:pStyle w:val="3"/>
        <w:spacing w:before="156" w:beforeLines="50" w:after="156" w:afterLines="50"/>
        <w:jc w:val="center"/>
        <w:outlineLvl w:val="0"/>
        <w:rPr>
          <w:rFonts w:ascii="黑体" w:hAnsi="宋体" w:eastAsia="黑体" w:cs="宋体"/>
          <w:sz w:val="32"/>
          <w:szCs w:val="32"/>
        </w:rPr>
      </w:pPr>
      <w:r>
        <w:rPr>
          <w:rFonts w:hint="eastAsia" w:ascii="黑体" w:hAnsi="宋体" w:eastAsia="黑体" w:cs="宋体"/>
          <w:sz w:val="32"/>
          <w:szCs w:val="32"/>
        </w:rPr>
        <w:t>项目技术</w:t>
      </w:r>
      <w:r>
        <w:rPr>
          <w:rFonts w:hint="eastAsia" w:ascii="黑体" w:hAnsi="宋体" w:eastAsia="黑体" w:cs="宋体"/>
          <w:sz w:val="32"/>
          <w:szCs w:val="32"/>
          <w:lang w:eastAsia="zh-CN"/>
        </w:rPr>
        <w:t>标书</w:t>
      </w:r>
    </w:p>
    <w:p>
      <w:pPr>
        <w:tabs>
          <w:tab w:val="left" w:pos="2340"/>
        </w:tabs>
        <w:spacing w:line="480" w:lineRule="auto"/>
        <w:ind w:left="630" w:leftChars="300" w:firstLine="240" w:firstLineChars="100"/>
        <w:jc w:val="left"/>
        <w:rPr>
          <w:rFonts w:hint="eastAsia" w:ascii="宋体"/>
          <w:sz w:val="24"/>
        </w:rPr>
      </w:pPr>
    </w:p>
    <w:p>
      <w:pPr>
        <w:tabs>
          <w:tab w:val="left" w:pos="2340"/>
        </w:tabs>
        <w:spacing w:line="480" w:lineRule="auto"/>
        <w:ind w:left="630" w:leftChars="300" w:firstLine="240" w:firstLineChars="100"/>
        <w:jc w:val="left"/>
        <w:rPr>
          <w:rFonts w:hint="eastAsia" w:ascii="宋体"/>
          <w:sz w:val="24"/>
        </w:rPr>
      </w:pPr>
    </w:p>
    <w:p>
      <w:pPr>
        <w:tabs>
          <w:tab w:val="left" w:pos="2340"/>
        </w:tabs>
        <w:spacing w:line="480" w:lineRule="auto"/>
        <w:ind w:left="630" w:leftChars="300" w:firstLine="240" w:firstLineChars="100"/>
        <w:jc w:val="left"/>
        <w:rPr>
          <w:rFonts w:ascii="宋体"/>
          <w:sz w:val="24"/>
        </w:rPr>
      </w:pPr>
      <w:r>
        <w:rPr>
          <w:rFonts w:hint="eastAsia" w:ascii="宋体"/>
          <w:sz w:val="24"/>
        </w:rPr>
        <w:t>第一节  供货范围、技术规格、参数与要求</w:t>
      </w:r>
    </w:p>
    <w:p>
      <w:pPr>
        <w:tabs>
          <w:tab w:val="left" w:pos="2340"/>
        </w:tabs>
        <w:spacing w:line="480" w:lineRule="auto"/>
        <w:ind w:left="630" w:leftChars="300" w:firstLine="240" w:firstLineChars="100"/>
        <w:jc w:val="left"/>
        <w:rPr>
          <w:rFonts w:ascii="宋体"/>
          <w:sz w:val="24"/>
        </w:rPr>
      </w:pPr>
      <w:r>
        <w:rPr>
          <w:rFonts w:hint="eastAsia" w:ascii="宋体"/>
          <w:sz w:val="24"/>
        </w:rPr>
        <w:t>第二节  备件和工具</w:t>
      </w:r>
    </w:p>
    <w:p>
      <w:pPr>
        <w:tabs>
          <w:tab w:val="left" w:pos="2340"/>
        </w:tabs>
        <w:spacing w:line="480" w:lineRule="auto"/>
        <w:ind w:left="630" w:leftChars="300" w:firstLine="240" w:firstLineChars="100"/>
        <w:jc w:val="left"/>
        <w:rPr>
          <w:rFonts w:ascii="宋体"/>
          <w:sz w:val="24"/>
        </w:rPr>
      </w:pPr>
      <w:r>
        <w:rPr>
          <w:rFonts w:hint="eastAsia" w:ascii="宋体"/>
          <w:sz w:val="24"/>
        </w:rPr>
        <w:t>第三节  设备出厂前检验</w:t>
      </w:r>
    </w:p>
    <w:p>
      <w:pPr>
        <w:tabs>
          <w:tab w:val="left" w:pos="2340"/>
        </w:tabs>
        <w:spacing w:line="480" w:lineRule="auto"/>
        <w:ind w:left="630" w:leftChars="300" w:firstLine="240" w:firstLineChars="100"/>
        <w:jc w:val="left"/>
        <w:rPr>
          <w:rFonts w:ascii="宋体"/>
          <w:sz w:val="24"/>
        </w:rPr>
      </w:pPr>
      <w:r>
        <w:rPr>
          <w:rFonts w:hint="eastAsia" w:ascii="宋体"/>
          <w:sz w:val="24"/>
        </w:rPr>
        <w:t>第四节  技术服务</w:t>
      </w:r>
    </w:p>
    <w:p>
      <w:pPr>
        <w:tabs>
          <w:tab w:val="left" w:pos="2340"/>
        </w:tabs>
        <w:spacing w:line="480" w:lineRule="auto"/>
        <w:ind w:left="630" w:leftChars="300" w:firstLine="240" w:firstLineChars="100"/>
        <w:jc w:val="left"/>
        <w:rPr>
          <w:rFonts w:ascii="宋体"/>
          <w:sz w:val="24"/>
        </w:rPr>
      </w:pPr>
      <w:r>
        <w:rPr>
          <w:rFonts w:hint="eastAsia" w:ascii="宋体"/>
          <w:sz w:val="24"/>
        </w:rPr>
        <w:t>第五节  安装、检验、调试、试运行及验收</w:t>
      </w:r>
    </w:p>
    <w:p>
      <w:pPr>
        <w:tabs>
          <w:tab w:val="left" w:pos="2340"/>
        </w:tabs>
        <w:spacing w:line="480" w:lineRule="auto"/>
        <w:ind w:left="630" w:leftChars="300" w:firstLine="240" w:firstLineChars="100"/>
        <w:jc w:val="left"/>
        <w:rPr>
          <w:rFonts w:ascii="宋体"/>
          <w:sz w:val="24"/>
        </w:rPr>
      </w:pPr>
      <w:r>
        <w:rPr>
          <w:rFonts w:hint="eastAsia" w:ascii="宋体"/>
          <w:sz w:val="24"/>
        </w:rPr>
        <w:t>第六节  质量保证</w:t>
      </w:r>
    </w:p>
    <w:p>
      <w:pPr>
        <w:tabs>
          <w:tab w:val="left" w:pos="2340"/>
        </w:tabs>
        <w:spacing w:line="480" w:lineRule="auto"/>
        <w:ind w:left="630" w:leftChars="300" w:firstLine="240" w:firstLineChars="100"/>
        <w:jc w:val="left"/>
        <w:rPr>
          <w:rFonts w:ascii="宋体"/>
          <w:sz w:val="24"/>
        </w:rPr>
      </w:pPr>
      <w:r>
        <w:rPr>
          <w:rFonts w:hint="eastAsia" w:ascii="宋体"/>
          <w:sz w:val="24"/>
        </w:rPr>
        <w:t>第七节  技术资料和图纸</w:t>
      </w:r>
    </w:p>
    <w:p>
      <w:pPr>
        <w:spacing w:line="360" w:lineRule="auto"/>
        <w:jc w:val="center"/>
        <w:rPr>
          <w:rFonts w:hint="eastAsia" w:ascii="Times New Roman" w:hAnsi="Times New Roman" w:eastAsia="宋体" w:cs="Times New Roman"/>
          <w:b/>
          <w:color w:val="auto"/>
          <w:sz w:val="24"/>
          <w:szCs w:val="24"/>
        </w:rPr>
        <w:sectPr>
          <w:pgSz w:w="11906" w:h="16838"/>
          <w:pgMar w:top="1440" w:right="1800" w:bottom="1440" w:left="1800" w:header="851" w:footer="992" w:gutter="0"/>
          <w:cols w:space="425" w:num="1"/>
          <w:docGrid w:type="lines" w:linePitch="312" w:charSpace="0"/>
        </w:sectPr>
      </w:pPr>
    </w:p>
    <w:p>
      <w:pPr>
        <w:spacing w:line="360" w:lineRule="auto"/>
        <w:jc w:val="center"/>
        <w:rPr>
          <w:rFonts w:ascii="Times New Roman" w:hAnsi="Times New Roman" w:eastAsia="宋体" w:cs="Times New Roman"/>
          <w:b/>
          <w:color w:val="auto"/>
          <w:sz w:val="24"/>
          <w:szCs w:val="24"/>
        </w:rPr>
      </w:pPr>
      <w:r>
        <w:rPr>
          <w:rFonts w:hint="eastAsia" w:ascii="Times New Roman" w:hAnsi="Times New Roman" w:eastAsia="宋体" w:cs="Times New Roman"/>
          <w:b/>
          <w:color w:val="auto"/>
          <w:sz w:val="24"/>
          <w:szCs w:val="24"/>
        </w:rPr>
        <w:t>第一节  供货范围、技术规格、参数与要求</w:t>
      </w:r>
    </w:p>
    <w:p>
      <w:pPr>
        <w:spacing w:before="240" w:after="240" w:line="360" w:lineRule="auto"/>
        <w:ind w:left="2568" w:leftChars="-5" w:hanging="2578" w:hangingChars="1070"/>
        <w:rPr>
          <w:rFonts w:ascii="宋体" w:hAnsi="宋体" w:eastAsia="宋体" w:cs="Times New Roman"/>
          <w:b/>
          <w:color w:val="auto"/>
          <w:sz w:val="24"/>
          <w:szCs w:val="24"/>
        </w:rPr>
      </w:pPr>
      <w:r>
        <w:rPr>
          <w:rFonts w:hint="eastAsia" w:ascii="宋体" w:hAnsi="宋体" w:eastAsia="宋体" w:cs="Times New Roman"/>
          <w:b/>
          <w:color w:val="auto"/>
          <w:sz w:val="24"/>
          <w:szCs w:val="24"/>
        </w:rPr>
        <w:t>一、货物需求一览表</w:t>
      </w:r>
    </w:p>
    <w:tbl>
      <w:tblPr>
        <w:tblStyle w:val="9"/>
        <w:tblW w:w="831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635"/>
        <w:gridCol w:w="2120"/>
        <w:gridCol w:w="648"/>
        <w:gridCol w:w="730"/>
        <w:gridCol w:w="705"/>
        <w:gridCol w:w="988"/>
        <w:gridCol w:w="948"/>
        <w:gridCol w:w="15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97" w:hRule="atLeast"/>
          <w:jc w:val="center"/>
        </w:trPr>
        <w:tc>
          <w:tcPr>
            <w:tcW w:w="635"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eastAsia="宋体" w:cs="Times New Roman"/>
                <w:color w:val="auto"/>
                <w:szCs w:val="21"/>
              </w:rPr>
            </w:pPr>
            <w:r>
              <w:rPr>
                <w:rFonts w:hint="eastAsia" w:ascii="宋体" w:hAnsi="宋体" w:eastAsia="宋体" w:cs="Times New Roman"/>
                <w:color w:val="auto"/>
                <w:szCs w:val="21"/>
              </w:rPr>
              <w:t>序号</w:t>
            </w:r>
          </w:p>
        </w:tc>
        <w:tc>
          <w:tcPr>
            <w:tcW w:w="2120"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eastAsia="宋体" w:cs="Times New Roman"/>
                <w:color w:val="auto"/>
                <w:szCs w:val="21"/>
              </w:rPr>
            </w:pPr>
            <w:r>
              <w:rPr>
                <w:rFonts w:hint="eastAsia" w:ascii="宋体" w:hAnsi="宋体" w:eastAsia="宋体" w:cs="Times New Roman"/>
                <w:color w:val="auto"/>
                <w:szCs w:val="21"/>
              </w:rPr>
              <w:t>名称</w:t>
            </w:r>
          </w:p>
        </w:tc>
        <w:tc>
          <w:tcPr>
            <w:tcW w:w="648"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eastAsia="宋体" w:cs="Times New Roman"/>
                <w:color w:val="auto"/>
                <w:szCs w:val="21"/>
              </w:rPr>
            </w:pPr>
            <w:r>
              <w:rPr>
                <w:rFonts w:hint="eastAsia" w:ascii="宋体" w:hAnsi="宋体" w:eastAsia="宋体" w:cs="Times New Roman"/>
                <w:color w:val="auto"/>
                <w:szCs w:val="21"/>
              </w:rPr>
              <w:t>规格型号</w:t>
            </w:r>
          </w:p>
        </w:tc>
        <w:tc>
          <w:tcPr>
            <w:tcW w:w="730"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eastAsia="宋体" w:cs="Times New Roman"/>
                <w:color w:val="auto"/>
                <w:szCs w:val="21"/>
              </w:rPr>
            </w:pPr>
            <w:r>
              <w:rPr>
                <w:rFonts w:hint="eastAsia" w:ascii="宋体" w:hAnsi="宋体" w:eastAsia="宋体" w:cs="Times New Roman"/>
                <w:color w:val="auto"/>
                <w:szCs w:val="21"/>
              </w:rPr>
              <w:t>单位</w:t>
            </w:r>
          </w:p>
        </w:tc>
        <w:tc>
          <w:tcPr>
            <w:tcW w:w="705"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eastAsia="宋体" w:cs="Times New Roman"/>
                <w:color w:val="auto"/>
                <w:szCs w:val="21"/>
              </w:rPr>
            </w:pPr>
            <w:r>
              <w:rPr>
                <w:rFonts w:hint="eastAsia" w:ascii="宋体" w:hAnsi="宋体" w:eastAsia="宋体" w:cs="Times New Roman"/>
                <w:color w:val="auto"/>
                <w:szCs w:val="21"/>
              </w:rPr>
              <w:t>数量</w:t>
            </w:r>
          </w:p>
        </w:tc>
        <w:tc>
          <w:tcPr>
            <w:tcW w:w="988"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eastAsia="宋体" w:cs="Times New Roman"/>
                <w:color w:val="auto"/>
                <w:szCs w:val="21"/>
              </w:rPr>
            </w:pPr>
            <w:r>
              <w:rPr>
                <w:rFonts w:hint="eastAsia" w:ascii="宋体" w:hAnsi="宋体" w:eastAsia="宋体" w:cs="Times New Roman"/>
                <w:color w:val="auto"/>
                <w:szCs w:val="21"/>
              </w:rPr>
              <w:t>交货时间</w:t>
            </w:r>
          </w:p>
        </w:tc>
        <w:tc>
          <w:tcPr>
            <w:tcW w:w="948"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eastAsia="宋体" w:cs="Times New Roman"/>
                <w:color w:val="auto"/>
                <w:szCs w:val="21"/>
              </w:rPr>
            </w:pPr>
            <w:r>
              <w:rPr>
                <w:rFonts w:hint="eastAsia" w:ascii="宋体" w:hAnsi="宋体" w:eastAsia="宋体" w:cs="Times New Roman"/>
                <w:color w:val="auto"/>
                <w:szCs w:val="21"/>
              </w:rPr>
              <w:t>交货地点</w:t>
            </w:r>
          </w:p>
        </w:tc>
        <w:tc>
          <w:tcPr>
            <w:tcW w:w="1542"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eastAsia="宋体" w:cs="Times New Roman"/>
                <w:color w:val="auto"/>
                <w:szCs w:val="21"/>
              </w:rPr>
            </w:pPr>
            <w:r>
              <w:rPr>
                <w:rFonts w:hint="eastAsia" w:ascii="宋体" w:hAnsi="宋体" w:eastAsia="宋体" w:cs="Times New Roman"/>
                <w:color w:val="auto"/>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97" w:hRule="atLeast"/>
          <w:jc w:val="center"/>
        </w:trPr>
        <w:tc>
          <w:tcPr>
            <w:tcW w:w="635"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eastAsia="宋体" w:cs="Times New Roman"/>
                <w:color w:val="auto"/>
                <w:szCs w:val="21"/>
              </w:rPr>
            </w:pPr>
            <w:r>
              <w:rPr>
                <w:rFonts w:hint="eastAsia" w:ascii="宋体" w:hAnsi="宋体" w:eastAsia="宋体" w:cs="Times New Roman"/>
                <w:color w:val="auto"/>
                <w:szCs w:val="21"/>
              </w:rPr>
              <w:t>1</w:t>
            </w:r>
          </w:p>
        </w:tc>
        <w:tc>
          <w:tcPr>
            <w:tcW w:w="2120"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rPr>
                <w:rFonts w:ascii="宋体" w:hAnsi="宋体" w:eastAsia="宋体" w:cs="Times New Roman"/>
                <w:color w:val="auto"/>
                <w:szCs w:val="21"/>
              </w:rPr>
            </w:pPr>
            <w:r>
              <w:rPr>
                <w:rFonts w:hint="eastAsia" w:ascii="宋体" w:hAnsi="宋体" w:cs="宋体"/>
                <w:color w:val="auto"/>
                <w:kern w:val="0"/>
                <w:szCs w:val="21"/>
                <w:highlight w:val="none"/>
                <w:lang w:eastAsia="zh-CN" w:bidi="ar"/>
              </w:rPr>
              <w:t>Universal</w:t>
            </w:r>
            <w:r>
              <w:rPr>
                <w:rFonts w:hint="eastAsia" w:ascii="宋体" w:hAnsi="宋体" w:cs="宋体"/>
                <w:color w:val="auto"/>
                <w:kern w:val="0"/>
                <w:szCs w:val="21"/>
                <w:highlight w:val="none"/>
                <w:lang w:val="en-US" w:eastAsia="zh-CN" w:bidi="ar"/>
              </w:rPr>
              <w:t xml:space="preserve"> </w:t>
            </w:r>
            <w:r>
              <w:rPr>
                <w:rFonts w:hint="eastAsia" w:ascii="宋体" w:hAnsi="宋体" w:cs="宋体"/>
                <w:color w:val="auto"/>
                <w:kern w:val="0"/>
                <w:szCs w:val="21"/>
                <w:highlight w:val="none"/>
                <w:lang w:bidi="ar"/>
              </w:rPr>
              <w:t>OPC Server</w:t>
            </w:r>
          </w:p>
        </w:tc>
        <w:tc>
          <w:tcPr>
            <w:tcW w:w="648"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eastAsia="宋体" w:cs="Times New Roman"/>
                <w:color w:val="auto"/>
                <w:szCs w:val="21"/>
              </w:rPr>
            </w:pPr>
          </w:p>
        </w:tc>
        <w:tc>
          <w:tcPr>
            <w:tcW w:w="730"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eastAsia="宋体" w:cs="Times New Roman"/>
                <w:color w:val="auto"/>
                <w:szCs w:val="21"/>
              </w:rPr>
            </w:pPr>
            <w:r>
              <w:rPr>
                <w:rFonts w:hint="eastAsia" w:ascii="宋体" w:hAnsi="宋体" w:eastAsia="宋体" w:cs="Times New Roman"/>
                <w:color w:val="auto"/>
                <w:szCs w:val="21"/>
              </w:rPr>
              <w:t>套</w:t>
            </w:r>
          </w:p>
        </w:tc>
        <w:tc>
          <w:tcPr>
            <w:tcW w:w="705"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eastAsia="宋体" w:cs="Times New Roman"/>
                <w:color w:val="auto"/>
                <w:szCs w:val="21"/>
              </w:rPr>
            </w:pPr>
            <w:r>
              <w:rPr>
                <w:rFonts w:hint="eastAsia" w:ascii="宋体" w:hAnsi="宋体" w:eastAsia="宋体" w:cs="Times New Roman"/>
                <w:color w:val="auto"/>
                <w:szCs w:val="21"/>
              </w:rPr>
              <w:t>2</w:t>
            </w:r>
          </w:p>
        </w:tc>
        <w:tc>
          <w:tcPr>
            <w:tcW w:w="988" w:type="dxa"/>
            <w:tcBorders>
              <w:top w:val="single" w:color="auto" w:sz="4" w:space="0"/>
              <w:left w:val="single" w:color="auto" w:sz="4" w:space="0"/>
              <w:bottom w:val="single" w:color="auto" w:sz="4" w:space="0"/>
              <w:right w:val="single" w:color="auto" w:sz="4" w:space="0"/>
            </w:tcBorders>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eastAsia="宋体" w:cs="Times New Roman"/>
                <w:color w:val="auto"/>
                <w:szCs w:val="21"/>
              </w:rPr>
            </w:pPr>
          </w:p>
        </w:tc>
        <w:tc>
          <w:tcPr>
            <w:tcW w:w="948" w:type="dxa"/>
            <w:tcBorders>
              <w:top w:val="single" w:color="auto" w:sz="4" w:space="0"/>
              <w:left w:val="single" w:color="auto" w:sz="4" w:space="0"/>
              <w:bottom w:val="single" w:color="auto" w:sz="4" w:space="0"/>
              <w:right w:val="single" w:color="auto" w:sz="4" w:space="0"/>
            </w:tcBorders>
            <w:vAlign w:val="center"/>
          </w:tcPr>
          <w:p>
            <w:pPr>
              <w:adjustRightInd w:val="0"/>
              <w:snapToGrid w:val="0"/>
              <w:jc w:val="left"/>
              <w:rPr>
                <w:rFonts w:ascii="宋体" w:hAnsi="宋体" w:eastAsia="宋体" w:cs="Courier New"/>
                <w:color w:val="auto"/>
                <w:szCs w:val="21"/>
              </w:rPr>
            </w:pPr>
          </w:p>
        </w:tc>
        <w:tc>
          <w:tcPr>
            <w:tcW w:w="154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宋体" w:hAnsi="宋体" w:eastAsia="宋体" w:cs="Courier New"/>
                <w:color w:val="auto"/>
                <w:szCs w:val="21"/>
              </w:rPr>
            </w:pPr>
            <w:r>
              <w:rPr>
                <w:rFonts w:hint="eastAsia" w:ascii="宋体" w:hAnsi="宋体" w:cs="宋体"/>
                <w:color w:val="auto"/>
                <w:kern w:val="0"/>
                <w:szCs w:val="21"/>
              </w:rPr>
              <w:t>同时采集多种数据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97" w:hRule="atLeast"/>
          <w:jc w:val="center"/>
        </w:trPr>
        <w:tc>
          <w:tcPr>
            <w:tcW w:w="635"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eastAsia="宋体" w:cs="Times New Roman"/>
                <w:color w:val="auto"/>
                <w:szCs w:val="21"/>
              </w:rPr>
            </w:pPr>
            <w:r>
              <w:rPr>
                <w:rFonts w:hint="eastAsia" w:ascii="宋体" w:hAnsi="宋体" w:eastAsia="宋体" w:cs="Times New Roman"/>
                <w:color w:val="auto"/>
                <w:szCs w:val="21"/>
              </w:rPr>
              <w:t>2</w:t>
            </w:r>
          </w:p>
        </w:tc>
        <w:tc>
          <w:tcPr>
            <w:tcW w:w="2120" w:type="dxa"/>
            <w:tcBorders>
              <w:top w:val="single" w:color="auto" w:sz="4" w:space="0"/>
              <w:left w:val="single" w:color="auto" w:sz="4" w:space="0"/>
              <w:bottom w:val="single" w:color="auto" w:sz="4" w:space="0"/>
              <w:right w:val="single" w:color="auto" w:sz="4" w:space="0"/>
            </w:tcBorders>
            <w:vAlign w:val="center"/>
          </w:tcPr>
          <w:p>
            <w:pPr>
              <w:widowControl/>
              <w:textAlignment w:val="center"/>
              <w:rPr>
                <w:rFonts w:ascii="宋体" w:hAnsi="宋体" w:cs="宋体"/>
                <w:color w:val="auto"/>
                <w:spacing w:val="2"/>
                <w:kern w:val="0"/>
                <w:szCs w:val="21"/>
              </w:rPr>
            </w:pPr>
            <w:r>
              <w:rPr>
                <w:rFonts w:hint="eastAsia" w:ascii="宋体" w:hAnsi="宋体" w:cs="宋体"/>
                <w:color w:val="auto"/>
                <w:kern w:val="0"/>
                <w:szCs w:val="21"/>
                <w:lang w:bidi="ar"/>
              </w:rPr>
              <w:t xml:space="preserve">Modbus </w:t>
            </w:r>
            <w:bookmarkStart w:id="0" w:name="OLE_LINK5"/>
            <w:r>
              <w:rPr>
                <w:rFonts w:hint="eastAsia" w:ascii="宋体" w:hAnsi="宋体" w:cs="宋体"/>
                <w:color w:val="auto"/>
                <w:kern w:val="0"/>
                <w:szCs w:val="21"/>
                <w:lang w:bidi="ar"/>
              </w:rPr>
              <w:t>Server</w:t>
            </w:r>
            <w:bookmarkEnd w:id="0"/>
          </w:p>
        </w:tc>
        <w:tc>
          <w:tcPr>
            <w:tcW w:w="648"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eastAsia="宋体" w:cs="Times New Roman"/>
                <w:color w:val="auto"/>
                <w:szCs w:val="21"/>
              </w:rPr>
            </w:pPr>
          </w:p>
        </w:tc>
        <w:tc>
          <w:tcPr>
            <w:tcW w:w="730"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eastAsia="宋体" w:cs="Times New Roman"/>
                <w:color w:val="auto"/>
                <w:szCs w:val="21"/>
              </w:rPr>
            </w:pPr>
            <w:r>
              <w:rPr>
                <w:rFonts w:hint="eastAsia" w:ascii="宋体" w:hAnsi="宋体" w:eastAsia="宋体" w:cs="Times New Roman"/>
                <w:color w:val="auto"/>
                <w:szCs w:val="21"/>
              </w:rPr>
              <w:t>套</w:t>
            </w:r>
          </w:p>
        </w:tc>
        <w:tc>
          <w:tcPr>
            <w:tcW w:w="705"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eastAsia="宋体" w:cs="Times New Roman"/>
                <w:color w:val="auto"/>
                <w:szCs w:val="21"/>
              </w:rPr>
            </w:pPr>
            <w:r>
              <w:rPr>
                <w:rFonts w:hint="eastAsia" w:ascii="宋体" w:hAnsi="宋体" w:eastAsia="宋体" w:cs="Times New Roman"/>
                <w:color w:val="auto"/>
                <w:szCs w:val="21"/>
              </w:rPr>
              <w:t>5</w:t>
            </w:r>
          </w:p>
        </w:tc>
        <w:tc>
          <w:tcPr>
            <w:tcW w:w="988" w:type="dxa"/>
            <w:tcBorders>
              <w:top w:val="single" w:color="auto" w:sz="4" w:space="0"/>
              <w:left w:val="single" w:color="auto" w:sz="4" w:space="0"/>
              <w:bottom w:val="single" w:color="auto" w:sz="4" w:space="0"/>
              <w:right w:val="single" w:color="auto" w:sz="4" w:space="0"/>
            </w:tcBorders>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eastAsia="宋体" w:cs="Times New Roman"/>
                <w:color w:val="auto"/>
                <w:szCs w:val="21"/>
              </w:rPr>
            </w:pPr>
          </w:p>
        </w:tc>
        <w:tc>
          <w:tcPr>
            <w:tcW w:w="948"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eastAsia="宋体" w:cs="Times New Roman"/>
                <w:color w:val="auto"/>
                <w:szCs w:val="21"/>
              </w:rPr>
            </w:pPr>
          </w:p>
        </w:tc>
        <w:tc>
          <w:tcPr>
            <w:tcW w:w="1542"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cs="宋体"/>
                <w:color w:val="auto"/>
                <w:kern w:val="0"/>
                <w:szCs w:val="21"/>
              </w:rPr>
            </w:pPr>
            <w:r>
              <w:rPr>
                <w:rFonts w:hint="eastAsia" w:ascii="宋体" w:hAnsi="宋体" w:cs="宋体"/>
                <w:color w:val="auto"/>
                <w:kern w:val="0"/>
                <w:szCs w:val="21"/>
                <w:lang w:bidi="ar"/>
              </w:rPr>
              <w:t>采集Modbus数据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97" w:hRule="atLeast"/>
          <w:jc w:val="center"/>
        </w:trPr>
        <w:tc>
          <w:tcPr>
            <w:tcW w:w="635"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eastAsia="宋体" w:cs="Times New Roman"/>
                <w:color w:val="auto"/>
                <w:szCs w:val="21"/>
              </w:rPr>
            </w:pPr>
            <w:r>
              <w:rPr>
                <w:rFonts w:hint="eastAsia" w:ascii="宋体" w:hAnsi="宋体" w:eastAsia="宋体" w:cs="Times New Roman"/>
                <w:color w:val="auto"/>
                <w:szCs w:val="21"/>
              </w:rPr>
              <w:t>3</w:t>
            </w:r>
          </w:p>
        </w:tc>
        <w:tc>
          <w:tcPr>
            <w:tcW w:w="2120" w:type="dxa"/>
            <w:tcBorders>
              <w:top w:val="single" w:color="auto" w:sz="4" w:space="0"/>
              <w:left w:val="single" w:color="auto" w:sz="4" w:space="0"/>
              <w:bottom w:val="single" w:color="auto" w:sz="4" w:space="0"/>
              <w:right w:val="single" w:color="auto" w:sz="4" w:space="0"/>
            </w:tcBorders>
            <w:vAlign w:val="center"/>
          </w:tcPr>
          <w:p>
            <w:pPr>
              <w:widowControl/>
              <w:textAlignment w:val="center"/>
              <w:rPr>
                <w:rFonts w:ascii="宋体" w:hAnsi="宋体" w:cs="宋体"/>
                <w:color w:val="auto"/>
                <w:kern w:val="0"/>
                <w:szCs w:val="21"/>
              </w:rPr>
            </w:pPr>
            <w:r>
              <w:rPr>
                <w:rFonts w:hint="eastAsia" w:ascii="宋体" w:hAnsi="宋体" w:cs="宋体"/>
                <w:color w:val="auto"/>
                <w:kern w:val="0"/>
                <w:szCs w:val="21"/>
                <w:lang w:bidi="ar"/>
              </w:rPr>
              <w:t>OPC UA Proxy</w:t>
            </w:r>
          </w:p>
        </w:tc>
        <w:tc>
          <w:tcPr>
            <w:tcW w:w="648"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eastAsia="宋体" w:cs="Times New Roman"/>
                <w:color w:val="auto"/>
                <w:szCs w:val="21"/>
              </w:rPr>
            </w:pPr>
          </w:p>
        </w:tc>
        <w:tc>
          <w:tcPr>
            <w:tcW w:w="730"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eastAsia="宋体" w:cs="Times New Roman"/>
                <w:color w:val="auto"/>
                <w:szCs w:val="21"/>
              </w:rPr>
            </w:pPr>
            <w:r>
              <w:rPr>
                <w:rFonts w:hint="eastAsia" w:ascii="宋体" w:hAnsi="宋体" w:eastAsia="宋体" w:cs="Times New Roman"/>
                <w:color w:val="auto"/>
                <w:szCs w:val="21"/>
              </w:rPr>
              <w:t>套</w:t>
            </w:r>
          </w:p>
        </w:tc>
        <w:tc>
          <w:tcPr>
            <w:tcW w:w="705"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eastAsia="宋体" w:cs="Times New Roman"/>
                <w:color w:val="auto"/>
                <w:szCs w:val="21"/>
              </w:rPr>
            </w:pPr>
            <w:r>
              <w:rPr>
                <w:rFonts w:hint="eastAsia" w:ascii="宋体" w:hAnsi="宋体" w:eastAsia="宋体" w:cs="Times New Roman"/>
                <w:color w:val="auto"/>
                <w:szCs w:val="21"/>
              </w:rPr>
              <w:t>4</w:t>
            </w:r>
          </w:p>
        </w:tc>
        <w:tc>
          <w:tcPr>
            <w:tcW w:w="988" w:type="dxa"/>
            <w:tcBorders>
              <w:top w:val="single" w:color="auto" w:sz="4" w:space="0"/>
              <w:left w:val="single" w:color="auto" w:sz="4" w:space="0"/>
              <w:bottom w:val="single" w:color="auto" w:sz="4" w:space="0"/>
              <w:right w:val="single" w:color="auto" w:sz="4" w:space="0"/>
            </w:tcBorders>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eastAsia="宋体" w:cs="Times New Roman"/>
                <w:color w:val="auto"/>
                <w:szCs w:val="21"/>
              </w:rPr>
            </w:pPr>
          </w:p>
        </w:tc>
        <w:tc>
          <w:tcPr>
            <w:tcW w:w="948"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eastAsia="宋体" w:cs="Times New Roman"/>
                <w:color w:val="auto"/>
                <w:szCs w:val="21"/>
              </w:rPr>
            </w:pPr>
          </w:p>
        </w:tc>
        <w:tc>
          <w:tcPr>
            <w:tcW w:w="1542"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cs="宋体"/>
                <w:color w:val="auto"/>
                <w:kern w:val="0"/>
                <w:szCs w:val="21"/>
              </w:rPr>
            </w:pPr>
            <w:r>
              <w:rPr>
                <w:rFonts w:hint="eastAsia" w:ascii="宋体" w:hAnsi="宋体" w:cs="宋体"/>
                <w:color w:val="auto"/>
                <w:kern w:val="0"/>
                <w:szCs w:val="21"/>
                <w:lang w:bidi="ar"/>
              </w:rPr>
              <w:t>UA 转DA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97" w:hRule="atLeast"/>
          <w:jc w:val="center"/>
        </w:trPr>
        <w:tc>
          <w:tcPr>
            <w:tcW w:w="635"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eastAsia="宋体" w:cs="Times New Roman"/>
                <w:color w:val="auto"/>
                <w:szCs w:val="21"/>
              </w:rPr>
            </w:pPr>
            <w:r>
              <w:rPr>
                <w:rFonts w:hint="eastAsia" w:ascii="宋体" w:hAnsi="宋体" w:eastAsia="宋体" w:cs="Times New Roman"/>
                <w:color w:val="auto"/>
                <w:szCs w:val="21"/>
              </w:rPr>
              <w:t>4</w:t>
            </w:r>
          </w:p>
        </w:tc>
        <w:tc>
          <w:tcPr>
            <w:tcW w:w="2120" w:type="dxa"/>
            <w:tcBorders>
              <w:top w:val="single" w:color="auto" w:sz="4" w:space="0"/>
              <w:left w:val="single" w:color="auto" w:sz="4" w:space="0"/>
              <w:bottom w:val="single" w:color="auto" w:sz="4" w:space="0"/>
              <w:right w:val="single" w:color="auto" w:sz="4" w:space="0"/>
            </w:tcBorders>
            <w:vAlign w:val="center"/>
          </w:tcPr>
          <w:p>
            <w:pPr>
              <w:widowControl/>
              <w:textAlignment w:val="center"/>
              <w:rPr>
                <w:rFonts w:ascii="宋体" w:hAnsi="宋体" w:cs="宋体"/>
                <w:color w:val="auto"/>
                <w:kern w:val="0"/>
                <w:szCs w:val="21"/>
              </w:rPr>
            </w:pPr>
            <w:r>
              <w:rPr>
                <w:rFonts w:hint="eastAsia" w:ascii="宋体" w:hAnsi="宋体" w:cs="宋体"/>
                <w:color w:val="auto"/>
                <w:kern w:val="0"/>
                <w:szCs w:val="21"/>
                <w:lang w:bidi="ar"/>
              </w:rPr>
              <w:t>Tunneller(DA+HDA)</w:t>
            </w:r>
          </w:p>
        </w:tc>
        <w:tc>
          <w:tcPr>
            <w:tcW w:w="648"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eastAsia="宋体" w:cs="Times New Roman"/>
                <w:color w:val="auto"/>
                <w:szCs w:val="21"/>
              </w:rPr>
            </w:pPr>
          </w:p>
        </w:tc>
        <w:tc>
          <w:tcPr>
            <w:tcW w:w="730"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eastAsia="宋体" w:cs="Times New Roman"/>
                <w:color w:val="auto"/>
                <w:szCs w:val="21"/>
              </w:rPr>
            </w:pPr>
            <w:r>
              <w:rPr>
                <w:rFonts w:hint="eastAsia" w:ascii="宋体" w:hAnsi="宋体" w:eastAsia="宋体" w:cs="Times New Roman"/>
                <w:color w:val="auto"/>
                <w:szCs w:val="21"/>
              </w:rPr>
              <w:t>套</w:t>
            </w:r>
          </w:p>
        </w:tc>
        <w:tc>
          <w:tcPr>
            <w:tcW w:w="705"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eastAsia="宋体" w:cs="Times New Roman"/>
                <w:color w:val="auto"/>
                <w:szCs w:val="21"/>
              </w:rPr>
            </w:pPr>
            <w:r>
              <w:rPr>
                <w:rFonts w:hint="eastAsia" w:ascii="宋体" w:hAnsi="宋体" w:eastAsia="宋体" w:cs="Times New Roman"/>
                <w:color w:val="auto"/>
                <w:szCs w:val="21"/>
              </w:rPr>
              <w:t>4</w:t>
            </w:r>
          </w:p>
        </w:tc>
        <w:tc>
          <w:tcPr>
            <w:tcW w:w="988" w:type="dxa"/>
            <w:tcBorders>
              <w:top w:val="single" w:color="auto" w:sz="4" w:space="0"/>
              <w:left w:val="single" w:color="auto" w:sz="4" w:space="0"/>
              <w:bottom w:val="single" w:color="auto" w:sz="4" w:space="0"/>
              <w:right w:val="single" w:color="auto" w:sz="4" w:space="0"/>
            </w:tcBorders>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eastAsia="宋体" w:cs="Times New Roman"/>
                <w:color w:val="auto"/>
                <w:szCs w:val="21"/>
              </w:rPr>
            </w:pPr>
          </w:p>
        </w:tc>
        <w:tc>
          <w:tcPr>
            <w:tcW w:w="948"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eastAsia="宋体" w:cs="Times New Roman"/>
                <w:color w:val="auto"/>
                <w:szCs w:val="21"/>
              </w:rPr>
            </w:pPr>
          </w:p>
        </w:tc>
        <w:tc>
          <w:tcPr>
            <w:tcW w:w="1542"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cs="宋体"/>
                <w:color w:val="auto"/>
                <w:kern w:val="0"/>
                <w:szCs w:val="21"/>
              </w:rPr>
            </w:pPr>
            <w:r>
              <w:rPr>
                <w:rFonts w:hint="eastAsia" w:ascii="宋体" w:hAnsi="宋体" w:cs="宋体"/>
                <w:color w:val="auto"/>
                <w:kern w:val="0"/>
                <w:szCs w:val="21"/>
                <w:lang w:bidi="ar"/>
              </w:rPr>
              <w:t>屏蔽DCOM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97" w:hRule="atLeast"/>
          <w:jc w:val="center"/>
        </w:trPr>
        <w:tc>
          <w:tcPr>
            <w:tcW w:w="635"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eastAsia="宋体" w:cs="Times New Roman"/>
                <w:color w:val="auto"/>
                <w:szCs w:val="21"/>
              </w:rPr>
            </w:pPr>
            <w:r>
              <w:rPr>
                <w:rFonts w:hint="eastAsia" w:ascii="宋体" w:hAnsi="宋体" w:eastAsia="宋体" w:cs="Times New Roman"/>
                <w:color w:val="auto"/>
                <w:szCs w:val="21"/>
              </w:rPr>
              <w:t>5</w:t>
            </w:r>
          </w:p>
        </w:tc>
        <w:tc>
          <w:tcPr>
            <w:tcW w:w="2120" w:type="dxa"/>
            <w:tcBorders>
              <w:top w:val="single" w:color="auto" w:sz="4" w:space="0"/>
              <w:left w:val="single" w:color="auto" w:sz="4" w:space="0"/>
              <w:bottom w:val="single" w:color="auto" w:sz="4" w:space="0"/>
              <w:right w:val="single" w:color="auto" w:sz="4" w:space="0"/>
            </w:tcBorders>
            <w:vAlign w:val="center"/>
          </w:tcPr>
          <w:p>
            <w:pPr>
              <w:widowControl/>
              <w:textAlignment w:val="center"/>
              <w:rPr>
                <w:rFonts w:ascii="宋体" w:hAnsi="宋体" w:cs="宋体"/>
                <w:color w:val="auto"/>
                <w:kern w:val="0"/>
                <w:szCs w:val="21"/>
              </w:rPr>
            </w:pPr>
            <w:r>
              <w:rPr>
                <w:rFonts w:hint="eastAsia" w:ascii="宋体" w:hAnsi="宋体" w:cs="宋体"/>
                <w:color w:val="auto"/>
                <w:kern w:val="0"/>
                <w:szCs w:val="21"/>
                <w:lang w:bidi="ar"/>
              </w:rPr>
              <w:t>OPC Client for ODBC</w:t>
            </w:r>
          </w:p>
        </w:tc>
        <w:tc>
          <w:tcPr>
            <w:tcW w:w="648"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eastAsia="宋体" w:cs="Times New Roman"/>
                <w:color w:val="auto"/>
                <w:szCs w:val="21"/>
              </w:rPr>
            </w:pPr>
          </w:p>
        </w:tc>
        <w:tc>
          <w:tcPr>
            <w:tcW w:w="730"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eastAsia="宋体" w:cs="Times New Roman"/>
                <w:color w:val="auto"/>
                <w:szCs w:val="21"/>
              </w:rPr>
            </w:pPr>
            <w:r>
              <w:rPr>
                <w:rFonts w:hint="eastAsia" w:ascii="宋体" w:hAnsi="宋体" w:eastAsia="宋体" w:cs="Times New Roman"/>
                <w:color w:val="auto"/>
                <w:szCs w:val="21"/>
              </w:rPr>
              <w:t>套</w:t>
            </w:r>
          </w:p>
        </w:tc>
        <w:tc>
          <w:tcPr>
            <w:tcW w:w="705"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eastAsia="宋体" w:cs="Times New Roman"/>
                <w:color w:val="auto"/>
                <w:szCs w:val="21"/>
              </w:rPr>
            </w:pPr>
            <w:r>
              <w:rPr>
                <w:rFonts w:hint="eastAsia" w:ascii="宋体" w:hAnsi="宋体" w:eastAsia="宋体" w:cs="Times New Roman"/>
                <w:color w:val="auto"/>
                <w:szCs w:val="21"/>
              </w:rPr>
              <w:t>1</w:t>
            </w:r>
          </w:p>
        </w:tc>
        <w:tc>
          <w:tcPr>
            <w:tcW w:w="988" w:type="dxa"/>
            <w:tcBorders>
              <w:top w:val="single" w:color="auto" w:sz="4" w:space="0"/>
              <w:left w:val="single" w:color="auto" w:sz="4" w:space="0"/>
              <w:bottom w:val="single" w:color="auto" w:sz="4" w:space="0"/>
              <w:right w:val="single" w:color="auto" w:sz="4" w:space="0"/>
            </w:tcBorders>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eastAsia="宋体" w:cs="Times New Roman"/>
                <w:color w:val="auto"/>
                <w:szCs w:val="21"/>
              </w:rPr>
            </w:pPr>
          </w:p>
        </w:tc>
        <w:tc>
          <w:tcPr>
            <w:tcW w:w="948"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eastAsia="宋体" w:cs="Times New Roman"/>
                <w:color w:val="auto"/>
                <w:szCs w:val="21"/>
              </w:rPr>
            </w:pPr>
          </w:p>
        </w:tc>
        <w:tc>
          <w:tcPr>
            <w:tcW w:w="1542"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ascii="宋体" w:hAnsi="宋体" w:cs="宋体"/>
                <w:color w:val="auto"/>
                <w:kern w:val="0"/>
                <w:szCs w:val="21"/>
              </w:rPr>
            </w:pPr>
            <w:r>
              <w:rPr>
                <w:rFonts w:hint="eastAsia" w:ascii="宋体" w:hAnsi="宋体" w:cs="宋体"/>
                <w:color w:val="auto"/>
                <w:kern w:val="0"/>
                <w:szCs w:val="21"/>
                <w:lang w:bidi="ar"/>
              </w:rPr>
              <w:t>把数据写到ODBC数据库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97" w:hRule="atLeast"/>
          <w:jc w:val="center"/>
        </w:trPr>
        <w:tc>
          <w:tcPr>
            <w:tcW w:w="635"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eastAsia="宋体" w:cs="Times New Roman"/>
                <w:color w:val="auto"/>
                <w:szCs w:val="21"/>
              </w:rPr>
            </w:pPr>
            <w:r>
              <w:rPr>
                <w:rFonts w:hint="eastAsia" w:ascii="宋体" w:hAnsi="宋体" w:eastAsia="宋体" w:cs="Times New Roman"/>
                <w:color w:val="auto"/>
                <w:szCs w:val="21"/>
              </w:rPr>
              <w:t>6</w:t>
            </w:r>
          </w:p>
        </w:tc>
        <w:tc>
          <w:tcPr>
            <w:tcW w:w="2120" w:type="dxa"/>
            <w:tcBorders>
              <w:top w:val="single" w:color="auto" w:sz="4" w:space="0"/>
              <w:left w:val="single" w:color="auto" w:sz="4" w:space="0"/>
              <w:bottom w:val="single" w:color="auto" w:sz="4" w:space="0"/>
              <w:right w:val="single" w:color="auto" w:sz="4" w:space="0"/>
            </w:tcBorders>
            <w:vAlign w:val="center"/>
          </w:tcPr>
          <w:p>
            <w:pPr>
              <w:widowControl/>
              <w:textAlignment w:val="center"/>
              <w:rPr>
                <w:rFonts w:ascii="宋体" w:hAnsi="宋体" w:cs="宋体"/>
                <w:color w:val="auto"/>
                <w:kern w:val="0"/>
                <w:szCs w:val="21"/>
                <w:lang w:bidi="ar"/>
              </w:rPr>
            </w:pPr>
            <w:r>
              <w:rPr>
                <w:rFonts w:hint="eastAsia" w:ascii="宋体" w:hAnsi="宋体" w:cs="宋体"/>
                <w:color w:val="auto"/>
                <w:kern w:val="0"/>
                <w:szCs w:val="21"/>
              </w:rPr>
              <w:t>质保</w:t>
            </w:r>
          </w:p>
        </w:tc>
        <w:tc>
          <w:tcPr>
            <w:tcW w:w="648"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eastAsia="宋体" w:cs="Times New Roman"/>
                <w:color w:val="auto"/>
                <w:szCs w:val="21"/>
              </w:rPr>
            </w:pPr>
          </w:p>
        </w:tc>
        <w:tc>
          <w:tcPr>
            <w:tcW w:w="730"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eastAsia="宋体" w:cs="Times New Roman"/>
                <w:color w:val="auto"/>
                <w:szCs w:val="21"/>
              </w:rPr>
            </w:pPr>
            <w:r>
              <w:rPr>
                <w:rFonts w:hint="eastAsia" w:ascii="宋体" w:hAnsi="宋体" w:eastAsia="宋体" w:cs="Times New Roman"/>
                <w:color w:val="auto"/>
                <w:szCs w:val="21"/>
              </w:rPr>
              <w:t>年</w:t>
            </w:r>
          </w:p>
        </w:tc>
        <w:tc>
          <w:tcPr>
            <w:tcW w:w="705"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eastAsia="宋体" w:cs="Times New Roman"/>
                <w:color w:val="auto"/>
                <w:szCs w:val="21"/>
              </w:rPr>
            </w:pPr>
            <w:r>
              <w:rPr>
                <w:rFonts w:hint="eastAsia" w:ascii="宋体" w:hAnsi="宋体" w:eastAsia="宋体" w:cs="Times New Roman"/>
                <w:color w:val="auto"/>
                <w:szCs w:val="21"/>
              </w:rPr>
              <w:t>1</w:t>
            </w:r>
          </w:p>
        </w:tc>
        <w:tc>
          <w:tcPr>
            <w:tcW w:w="988" w:type="dxa"/>
            <w:tcBorders>
              <w:top w:val="single" w:color="auto" w:sz="4" w:space="0"/>
              <w:left w:val="single" w:color="auto" w:sz="4" w:space="0"/>
              <w:bottom w:val="single" w:color="auto" w:sz="4" w:space="0"/>
              <w:right w:val="single" w:color="auto" w:sz="4" w:space="0"/>
            </w:tcBorders>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eastAsia="宋体" w:cs="Times New Roman"/>
                <w:color w:val="auto"/>
                <w:szCs w:val="21"/>
              </w:rPr>
            </w:pPr>
          </w:p>
        </w:tc>
        <w:tc>
          <w:tcPr>
            <w:tcW w:w="948"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eastAsia="宋体" w:cs="Times New Roman"/>
                <w:color w:val="auto"/>
                <w:szCs w:val="21"/>
              </w:rPr>
            </w:pPr>
          </w:p>
        </w:tc>
        <w:tc>
          <w:tcPr>
            <w:tcW w:w="1542"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eastAsia="宋体" w:cs="Times New Roman"/>
                <w:color w:val="auto"/>
                <w:szCs w:val="21"/>
              </w:rPr>
            </w:pPr>
          </w:p>
        </w:tc>
      </w:tr>
    </w:tbl>
    <w:p>
      <w:pPr>
        <w:adjustRightInd w:val="0"/>
        <w:snapToGrid w:val="0"/>
        <w:spacing w:beforeLines="100" w:line="360" w:lineRule="auto"/>
        <w:jc w:val="center"/>
        <w:rPr>
          <w:rFonts w:ascii="宋体" w:hAnsi="宋体"/>
          <w:b/>
          <w:bCs/>
          <w:szCs w:val="21"/>
        </w:rPr>
      </w:pPr>
      <w:r>
        <w:rPr>
          <w:rFonts w:hint="eastAsia" w:ascii="宋体" w:hAnsi="宋体"/>
          <w:b/>
          <w:bCs/>
          <w:szCs w:val="21"/>
        </w:rPr>
        <w:t>分项报价表（参考格式）</w:t>
      </w:r>
    </w:p>
    <w:tbl>
      <w:tblPr>
        <w:tblStyle w:val="9"/>
        <w:tblW w:w="7822" w:type="dxa"/>
        <w:jc w:val="center"/>
        <w:tblInd w:w="-45" w:type="dxa"/>
        <w:tblLayout w:type="fixed"/>
        <w:tblCellMar>
          <w:top w:w="0" w:type="dxa"/>
          <w:left w:w="108" w:type="dxa"/>
          <w:bottom w:w="0" w:type="dxa"/>
          <w:right w:w="108" w:type="dxa"/>
        </w:tblCellMar>
      </w:tblPr>
      <w:tblGrid>
        <w:gridCol w:w="960"/>
        <w:gridCol w:w="2159"/>
        <w:gridCol w:w="881"/>
        <w:gridCol w:w="1140"/>
        <w:gridCol w:w="1300"/>
        <w:gridCol w:w="1382"/>
      </w:tblGrid>
      <w:tr>
        <w:tblPrEx>
          <w:tblLayout w:type="fixed"/>
          <w:tblCellMar>
            <w:top w:w="0" w:type="dxa"/>
            <w:left w:w="108" w:type="dxa"/>
            <w:bottom w:w="0" w:type="dxa"/>
            <w:right w:w="108" w:type="dxa"/>
          </w:tblCellMar>
        </w:tblPrEx>
        <w:trPr>
          <w:trHeight w:val="525" w:hRule="atLeast"/>
          <w:jc w:val="center"/>
        </w:trPr>
        <w:tc>
          <w:tcPr>
            <w:tcW w:w="960" w:type="dxa"/>
            <w:tcBorders>
              <w:top w:val="single" w:color="auto" w:sz="8" w:space="0"/>
              <w:left w:val="single" w:color="auto" w:sz="8" w:space="0"/>
              <w:bottom w:val="single" w:color="auto" w:sz="8" w:space="0"/>
              <w:right w:val="single" w:color="auto" w:sz="8" w:space="0"/>
            </w:tcBorders>
            <w:shd w:val="clear" w:color="auto" w:fill="auto"/>
            <w:vAlign w:val="center"/>
          </w:tcPr>
          <w:p>
            <w:pPr>
              <w:widowControl/>
              <w:jc w:val="center"/>
              <w:rPr>
                <w:rFonts w:ascii="宋体" w:hAnsi="宋体" w:cs="Arial"/>
                <w:b/>
                <w:bCs/>
                <w:kern w:val="0"/>
                <w:szCs w:val="21"/>
              </w:rPr>
            </w:pPr>
            <w:r>
              <w:rPr>
                <w:rFonts w:hint="eastAsia" w:ascii="宋体" w:hAnsi="宋体" w:cs="Arial"/>
                <w:b/>
                <w:bCs/>
                <w:kern w:val="0"/>
                <w:szCs w:val="21"/>
              </w:rPr>
              <w:t>序号</w:t>
            </w:r>
          </w:p>
        </w:tc>
        <w:tc>
          <w:tcPr>
            <w:tcW w:w="2159" w:type="dxa"/>
            <w:tcBorders>
              <w:top w:val="single" w:color="auto" w:sz="8" w:space="0"/>
              <w:left w:val="nil"/>
              <w:bottom w:val="single" w:color="auto" w:sz="8" w:space="0"/>
              <w:right w:val="single" w:color="auto" w:sz="8" w:space="0"/>
            </w:tcBorders>
            <w:shd w:val="clear" w:color="auto" w:fill="auto"/>
            <w:vAlign w:val="center"/>
          </w:tcPr>
          <w:p>
            <w:pPr>
              <w:widowControl/>
              <w:jc w:val="center"/>
              <w:rPr>
                <w:rFonts w:ascii="宋体" w:hAnsi="宋体" w:cs="Arial"/>
                <w:b/>
                <w:bCs/>
                <w:kern w:val="0"/>
                <w:szCs w:val="21"/>
              </w:rPr>
            </w:pPr>
            <w:r>
              <w:rPr>
                <w:rFonts w:hint="eastAsia" w:ascii="宋体" w:hAnsi="宋体" w:cs="Arial"/>
                <w:b/>
                <w:bCs/>
                <w:kern w:val="0"/>
                <w:szCs w:val="21"/>
              </w:rPr>
              <w:t>名称</w:t>
            </w:r>
          </w:p>
        </w:tc>
        <w:tc>
          <w:tcPr>
            <w:tcW w:w="881" w:type="dxa"/>
            <w:tcBorders>
              <w:top w:val="single" w:color="auto" w:sz="8" w:space="0"/>
              <w:left w:val="nil"/>
              <w:bottom w:val="single" w:color="auto" w:sz="8" w:space="0"/>
              <w:right w:val="single" w:color="auto" w:sz="8" w:space="0"/>
            </w:tcBorders>
            <w:shd w:val="clear" w:color="auto" w:fill="auto"/>
            <w:vAlign w:val="center"/>
          </w:tcPr>
          <w:p>
            <w:pPr>
              <w:widowControl/>
              <w:jc w:val="center"/>
              <w:rPr>
                <w:rFonts w:ascii="宋体" w:hAnsi="宋体" w:cs="Arial"/>
                <w:b/>
                <w:bCs/>
                <w:kern w:val="0"/>
                <w:szCs w:val="21"/>
              </w:rPr>
            </w:pPr>
            <w:r>
              <w:rPr>
                <w:rFonts w:hint="eastAsia" w:ascii="宋体" w:hAnsi="宋体" w:cs="Arial"/>
                <w:b/>
                <w:bCs/>
                <w:kern w:val="0"/>
                <w:szCs w:val="21"/>
              </w:rPr>
              <w:t>单位</w:t>
            </w:r>
          </w:p>
        </w:tc>
        <w:tc>
          <w:tcPr>
            <w:tcW w:w="1140" w:type="dxa"/>
            <w:tcBorders>
              <w:top w:val="single" w:color="auto" w:sz="8" w:space="0"/>
              <w:left w:val="nil"/>
              <w:bottom w:val="single" w:color="auto" w:sz="8" w:space="0"/>
              <w:right w:val="single" w:color="auto" w:sz="8" w:space="0"/>
            </w:tcBorders>
            <w:shd w:val="clear" w:color="auto" w:fill="auto"/>
            <w:vAlign w:val="center"/>
          </w:tcPr>
          <w:p>
            <w:pPr>
              <w:widowControl/>
              <w:jc w:val="center"/>
              <w:rPr>
                <w:rFonts w:ascii="宋体" w:hAnsi="宋体" w:cs="Arial"/>
                <w:b/>
                <w:bCs/>
                <w:kern w:val="0"/>
                <w:szCs w:val="21"/>
              </w:rPr>
            </w:pPr>
            <w:r>
              <w:rPr>
                <w:rFonts w:hint="eastAsia" w:ascii="宋体" w:hAnsi="宋体" w:cs="Arial"/>
                <w:b/>
                <w:bCs/>
                <w:kern w:val="0"/>
                <w:szCs w:val="21"/>
              </w:rPr>
              <w:t>数量</w:t>
            </w:r>
          </w:p>
        </w:tc>
        <w:tc>
          <w:tcPr>
            <w:tcW w:w="1300" w:type="dxa"/>
            <w:tcBorders>
              <w:top w:val="single" w:color="auto" w:sz="8" w:space="0"/>
              <w:left w:val="nil"/>
              <w:bottom w:val="single" w:color="auto" w:sz="8" w:space="0"/>
              <w:right w:val="single" w:color="auto" w:sz="8" w:space="0"/>
            </w:tcBorders>
            <w:shd w:val="clear" w:color="auto" w:fill="auto"/>
            <w:vAlign w:val="center"/>
          </w:tcPr>
          <w:p>
            <w:pPr>
              <w:widowControl/>
              <w:jc w:val="center"/>
              <w:rPr>
                <w:rFonts w:ascii="宋体" w:hAnsi="宋体" w:cs="Arial"/>
                <w:b/>
                <w:bCs/>
                <w:kern w:val="0"/>
                <w:szCs w:val="21"/>
              </w:rPr>
            </w:pPr>
            <w:r>
              <w:rPr>
                <w:rFonts w:hint="eastAsia" w:ascii="宋体" w:hAnsi="宋体" w:cs="Arial"/>
                <w:b/>
                <w:bCs/>
                <w:kern w:val="0"/>
                <w:szCs w:val="21"/>
              </w:rPr>
              <w:t>单价（元）</w:t>
            </w:r>
          </w:p>
        </w:tc>
        <w:tc>
          <w:tcPr>
            <w:tcW w:w="1382" w:type="dxa"/>
            <w:tcBorders>
              <w:top w:val="single" w:color="auto" w:sz="8" w:space="0"/>
              <w:left w:val="nil"/>
              <w:bottom w:val="single" w:color="auto" w:sz="8" w:space="0"/>
              <w:right w:val="single" w:color="auto" w:sz="8" w:space="0"/>
            </w:tcBorders>
            <w:shd w:val="clear" w:color="auto" w:fill="auto"/>
            <w:vAlign w:val="center"/>
          </w:tcPr>
          <w:p>
            <w:pPr>
              <w:widowControl/>
              <w:jc w:val="center"/>
              <w:rPr>
                <w:rFonts w:ascii="宋体" w:hAnsi="宋体" w:cs="Arial"/>
                <w:b/>
                <w:bCs/>
                <w:kern w:val="0"/>
                <w:szCs w:val="21"/>
              </w:rPr>
            </w:pPr>
            <w:r>
              <w:rPr>
                <w:rFonts w:hint="eastAsia" w:ascii="宋体" w:hAnsi="宋体" w:cs="Arial"/>
                <w:b/>
                <w:bCs/>
                <w:kern w:val="0"/>
                <w:szCs w:val="21"/>
              </w:rPr>
              <w:t>总价（元）</w:t>
            </w:r>
          </w:p>
        </w:tc>
      </w:tr>
      <w:tr>
        <w:tblPrEx>
          <w:tblLayout w:type="fixed"/>
          <w:tblCellMar>
            <w:top w:w="0" w:type="dxa"/>
            <w:left w:w="108" w:type="dxa"/>
            <w:bottom w:w="0" w:type="dxa"/>
            <w:right w:w="108" w:type="dxa"/>
          </w:tblCellMar>
        </w:tblPrEx>
        <w:trPr>
          <w:trHeight w:val="270" w:hRule="atLeast"/>
          <w:jc w:val="center"/>
        </w:trPr>
        <w:tc>
          <w:tcPr>
            <w:tcW w:w="960" w:type="dxa"/>
            <w:tcBorders>
              <w:top w:val="nil"/>
              <w:left w:val="single" w:color="auto" w:sz="8" w:space="0"/>
              <w:bottom w:val="single" w:color="auto" w:sz="8" w:space="0"/>
              <w:right w:val="single" w:color="auto" w:sz="8" w:space="0"/>
            </w:tcBorders>
            <w:shd w:val="clear" w:color="auto" w:fill="auto"/>
            <w:vAlign w:val="center"/>
          </w:tcPr>
          <w:p>
            <w:pPr>
              <w:widowControl/>
              <w:jc w:val="center"/>
              <w:rPr>
                <w:rFonts w:ascii="宋体" w:hAnsi="宋体" w:cs="Arial"/>
                <w:kern w:val="0"/>
                <w:szCs w:val="21"/>
              </w:rPr>
            </w:pPr>
          </w:p>
        </w:tc>
        <w:tc>
          <w:tcPr>
            <w:tcW w:w="2159" w:type="dxa"/>
            <w:tcBorders>
              <w:top w:val="nil"/>
              <w:left w:val="nil"/>
              <w:bottom w:val="single" w:color="auto" w:sz="8" w:space="0"/>
              <w:right w:val="single" w:color="auto" w:sz="8" w:space="0"/>
            </w:tcBorders>
            <w:shd w:val="clear" w:color="auto" w:fill="auto"/>
            <w:vAlign w:val="center"/>
          </w:tcPr>
          <w:p>
            <w:pPr>
              <w:widowControl/>
              <w:jc w:val="center"/>
              <w:rPr>
                <w:rFonts w:ascii="宋体" w:hAnsi="宋体" w:cs="Arial"/>
                <w:kern w:val="0"/>
                <w:szCs w:val="21"/>
              </w:rPr>
            </w:pPr>
          </w:p>
        </w:tc>
        <w:tc>
          <w:tcPr>
            <w:tcW w:w="881" w:type="dxa"/>
            <w:tcBorders>
              <w:top w:val="nil"/>
              <w:left w:val="nil"/>
              <w:bottom w:val="single" w:color="auto" w:sz="8" w:space="0"/>
              <w:right w:val="single" w:color="auto" w:sz="8" w:space="0"/>
            </w:tcBorders>
            <w:shd w:val="clear" w:color="auto" w:fill="auto"/>
            <w:vAlign w:val="center"/>
          </w:tcPr>
          <w:p>
            <w:pPr>
              <w:widowControl/>
              <w:jc w:val="center"/>
              <w:rPr>
                <w:rFonts w:ascii="宋体" w:hAnsi="宋体" w:cs="Arial"/>
                <w:kern w:val="0"/>
                <w:szCs w:val="21"/>
              </w:rPr>
            </w:pPr>
          </w:p>
        </w:tc>
        <w:tc>
          <w:tcPr>
            <w:tcW w:w="1140" w:type="dxa"/>
            <w:tcBorders>
              <w:top w:val="nil"/>
              <w:left w:val="nil"/>
              <w:bottom w:val="single" w:color="auto" w:sz="8" w:space="0"/>
              <w:right w:val="single" w:color="auto" w:sz="8" w:space="0"/>
            </w:tcBorders>
            <w:shd w:val="clear" w:color="auto" w:fill="auto"/>
            <w:vAlign w:val="center"/>
          </w:tcPr>
          <w:p>
            <w:pPr>
              <w:widowControl/>
              <w:jc w:val="center"/>
              <w:rPr>
                <w:rFonts w:ascii="宋体" w:hAnsi="宋体" w:cs="Arial"/>
                <w:kern w:val="0"/>
                <w:szCs w:val="21"/>
              </w:rPr>
            </w:pPr>
          </w:p>
        </w:tc>
        <w:tc>
          <w:tcPr>
            <w:tcW w:w="1300" w:type="dxa"/>
            <w:tcBorders>
              <w:top w:val="nil"/>
              <w:left w:val="nil"/>
              <w:bottom w:val="single" w:color="auto" w:sz="8" w:space="0"/>
              <w:right w:val="single" w:color="auto" w:sz="8" w:space="0"/>
            </w:tcBorders>
            <w:shd w:val="clear" w:color="auto" w:fill="auto"/>
            <w:vAlign w:val="center"/>
          </w:tcPr>
          <w:p>
            <w:pPr>
              <w:widowControl/>
              <w:jc w:val="center"/>
              <w:rPr>
                <w:rFonts w:ascii="宋体" w:hAnsi="宋体" w:cs="Arial"/>
                <w:b/>
                <w:bCs/>
                <w:kern w:val="0"/>
                <w:szCs w:val="21"/>
              </w:rPr>
            </w:pPr>
          </w:p>
        </w:tc>
        <w:tc>
          <w:tcPr>
            <w:tcW w:w="1382" w:type="dxa"/>
            <w:tcBorders>
              <w:top w:val="nil"/>
              <w:left w:val="nil"/>
              <w:bottom w:val="single" w:color="auto" w:sz="8" w:space="0"/>
              <w:right w:val="single" w:color="auto" w:sz="8" w:space="0"/>
            </w:tcBorders>
            <w:shd w:val="clear" w:color="auto" w:fill="auto"/>
            <w:vAlign w:val="center"/>
          </w:tcPr>
          <w:p>
            <w:pPr>
              <w:widowControl/>
              <w:jc w:val="center"/>
              <w:rPr>
                <w:rFonts w:ascii="宋体" w:hAnsi="宋体" w:cs="Arial"/>
                <w:b/>
                <w:bCs/>
                <w:kern w:val="0"/>
                <w:szCs w:val="21"/>
              </w:rPr>
            </w:pPr>
          </w:p>
        </w:tc>
      </w:tr>
      <w:tr>
        <w:tblPrEx>
          <w:tblLayout w:type="fixed"/>
          <w:tblCellMar>
            <w:top w:w="0" w:type="dxa"/>
            <w:left w:w="108" w:type="dxa"/>
            <w:bottom w:w="0" w:type="dxa"/>
            <w:right w:w="108" w:type="dxa"/>
          </w:tblCellMar>
        </w:tblPrEx>
        <w:trPr>
          <w:trHeight w:val="270" w:hRule="atLeast"/>
          <w:jc w:val="center"/>
        </w:trPr>
        <w:tc>
          <w:tcPr>
            <w:tcW w:w="960" w:type="dxa"/>
            <w:tcBorders>
              <w:top w:val="nil"/>
              <w:left w:val="single" w:color="auto" w:sz="8" w:space="0"/>
              <w:bottom w:val="single" w:color="auto" w:sz="8" w:space="0"/>
              <w:right w:val="single" w:color="auto" w:sz="8" w:space="0"/>
            </w:tcBorders>
            <w:shd w:val="clear" w:color="auto" w:fill="auto"/>
            <w:vAlign w:val="center"/>
          </w:tcPr>
          <w:p>
            <w:pPr>
              <w:widowControl/>
              <w:jc w:val="center"/>
              <w:rPr>
                <w:rFonts w:ascii="宋体" w:hAnsi="宋体" w:cs="Arial"/>
                <w:kern w:val="0"/>
                <w:szCs w:val="21"/>
              </w:rPr>
            </w:pPr>
          </w:p>
        </w:tc>
        <w:tc>
          <w:tcPr>
            <w:tcW w:w="2159" w:type="dxa"/>
            <w:tcBorders>
              <w:top w:val="nil"/>
              <w:left w:val="nil"/>
              <w:bottom w:val="single" w:color="auto" w:sz="8" w:space="0"/>
              <w:right w:val="single" w:color="auto" w:sz="8" w:space="0"/>
            </w:tcBorders>
            <w:shd w:val="clear" w:color="auto" w:fill="auto"/>
            <w:vAlign w:val="center"/>
          </w:tcPr>
          <w:p>
            <w:pPr>
              <w:widowControl/>
              <w:jc w:val="center"/>
              <w:rPr>
                <w:rFonts w:ascii="宋体" w:hAnsi="宋体" w:cs="Arial"/>
                <w:kern w:val="0"/>
                <w:szCs w:val="21"/>
              </w:rPr>
            </w:pPr>
          </w:p>
        </w:tc>
        <w:tc>
          <w:tcPr>
            <w:tcW w:w="881" w:type="dxa"/>
            <w:tcBorders>
              <w:top w:val="nil"/>
              <w:left w:val="nil"/>
              <w:bottom w:val="single" w:color="auto" w:sz="8" w:space="0"/>
              <w:right w:val="single" w:color="auto" w:sz="8" w:space="0"/>
            </w:tcBorders>
            <w:shd w:val="clear" w:color="auto" w:fill="auto"/>
            <w:vAlign w:val="center"/>
          </w:tcPr>
          <w:p>
            <w:pPr>
              <w:widowControl/>
              <w:jc w:val="center"/>
              <w:rPr>
                <w:rFonts w:ascii="宋体" w:hAnsi="宋体" w:cs="Arial"/>
                <w:kern w:val="0"/>
                <w:szCs w:val="21"/>
              </w:rPr>
            </w:pPr>
          </w:p>
        </w:tc>
        <w:tc>
          <w:tcPr>
            <w:tcW w:w="1140" w:type="dxa"/>
            <w:tcBorders>
              <w:top w:val="nil"/>
              <w:left w:val="nil"/>
              <w:bottom w:val="single" w:color="auto" w:sz="8" w:space="0"/>
              <w:right w:val="single" w:color="auto" w:sz="8" w:space="0"/>
            </w:tcBorders>
            <w:shd w:val="clear" w:color="auto" w:fill="auto"/>
            <w:vAlign w:val="center"/>
          </w:tcPr>
          <w:p>
            <w:pPr>
              <w:widowControl/>
              <w:jc w:val="center"/>
              <w:rPr>
                <w:rFonts w:ascii="宋体" w:hAnsi="宋体" w:cs="Arial"/>
                <w:kern w:val="0"/>
                <w:szCs w:val="21"/>
              </w:rPr>
            </w:pPr>
          </w:p>
        </w:tc>
        <w:tc>
          <w:tcPr>
            <w:tcW w:w="1300" w:type="dxa"/>
            <w:tcBorders>
              <w:top w:val="nil"/>
              <w:left w:val="nil"/>
              <w:bottom w:val="single" w:color="auto" w:sz="8" w:space="0"/>
              <w:right w:val="single" w:color="auto" w:sz="8" w:space="0"/>
            </w:tcBorders>
            <w:shd w:val="clear" w:color="auto" w:fill="auto"/>
            <w:vAlign w:val="center"/>
          </w:tcPr>
          <w:p>
            <w:pPr>
              <w:widowControl/>
              <w:jc w:val="center"/>
              <w:rPr>
                <w:rFonts w:ascii="宋体" w:hAnsi="宋体" w:cs="Arial"/>
                <w:b/>
                <w:bCs/>
                <w:kern w:val="0"/>
                <w:szCs w:val="21"/>
              </w:rPr>
            </w:pPr>
          </w:p>
        </w:tc>
        <w:tc>
          <w:tcPr>
            <w:tcW w:w="1382" w:type="dxa"/>
            <w:tcBorders>
              <w:top w:val="nil"/>
              <w:left w:val="nil"/>
              <w:bottom w:val="single" w:color="auto" w:sz="8" w:space="0"/>
              <w:right w:val="single" w:color="auto" w:sz="8" w:space="0"/>
            </w:tcBorders>
            <w:shd w:val="clear" w:color="auto" w:fill="auto"/>
            <w:vAlign w:val="center"/>
          </w:tcPr>
          <w:p>
            <w:pPr>
              <w:widowControl/>
              <w:jc w:val="center"/>
              <w:rPr>
                <w:rFonts w:ascii="宋体" w:hAnsi="宋体" w:cs="Arial"/>
                <w:b/>
                <w:bCs/>
                <w:kern w:val="0"/>
                <w:szCs w:val="21"/>
              </w:rPr>
            </w:pPr>
          </w:p>
        </w:tc>
      </w:tr>
      <w:tr>
        <w:tblPrEx>
          <w:tblLayout w:type="fixed"/>
          <w:tblCellMar>
            <w:top w:w="0" w:type="dxa"/>
            <w:left w:w="108" w:type="dxa"/>
            <w:bottom w:w="0" w:type="dxa"/>
            <w:right w:w="108" w:type="dxa"/>
          </w:tblCellMar>
        </w:tblPrEx>
        <w:trPr>
          <w:trHeight w:val="270" w:hRule="atLeast"/>
          <w:jc w:val="center"/>
        </w:trPr>
        <w:tc>
          <w:tcPr>
            <w:tcW w:w="960" w:type="dxa"/>
            <w:tcBorders>
              <w:top w:val="nil"/>
              <w:left w:val="single" w:color="auto" w:sz="8" w:space="0"/>
              <w:bottom w:val="single" w:color="auto" w:sz="8" w:space="0"/>
              <w:right w:val="single" w:color="auto" w:sz="8" w:space="0"/>
            </w:tcBorders>
            <w:shd w:val="clear" w:color="auto" w:fill="auto"/>
            <w:vAlign w:val="center"/>
          </w:tcPr>
          <w:p>
            <w:pPr>
              <w:widowControl/>
              <w:jc w:val="center"/>
              <w:rPr>
                <w:rFonts w:ascii="宋体" w:hAnsi="宋体" w:cs="Arial"/>
                <w:kern w:val="0"/>
                <w:szCs w:val="21"/>
              </w:rPr>
            </w:pPr>
          </w:p>
        </w:tc>
        <w:tc>
          <w:tcPr>
            <w:tcW w:w="2159" w:type="dxa"/>
            <w:tcBorders>
              <w:top w:val="nil"/>
              <w:left w:val="nil"/>
              <w:bottom w:val="single" w:color="auto" w:sz="8" w:space="0"/>
              <w:right w:val="single" w:color="auto" w:sz="8" w:space="0"/>
            </w:tcBorders>
            <w:shd w:val="clear" w:color="auto" w:fill="auto"/>
            <w:vAlign w:val="center"/>
          </w:tcPr>
          <w:p>
            <w:pPr>
              <w:widowControl/>
              <w:jc w:val="center"/>
              <w:rPr>
                <w:rFonts w:ascii="宋体" w:hAnsi="宋体" w:cs="Arial"/>
                <w:kern w:val="0"/>
                <w:szCs w:val="21"/>
              </w:rPr>
            </w:pPr>
          </w:p>
        </w:tc>
        <w:tc>
          <w:tcPr>
            <w:tcW w:w="881" w:type="dxa"/>
            <w:tcBorders>
              <w:top w:val="nil"/>
              <w:left w:val="nil"/>
              <w:bottom w:val="single" w:color="auto" w:sz="8" w:space="0"/>
              <w:right w:val="single" w:color="auto" w:sz="8" w:space="0"/>
            </w:tcBorders>
            <w:shd w:val="clear" w:color="auto" w:fill="auto"/>
            <w:vAlign w:val="center"/>
          </w:tcPr>
          <w:p>
            <w:pPr>
              <w:widowControl/>
              <w:jc w:val="center"/>
              <w:rPr>
                <w:rFonts w:ascii="宋体" w:hAnsi="宋体" w:cs="Arial"/>
                <w:kern w:val="0"/>
                <w:szCs w:val="21"/>
              </w:rPr>
            </w:pPr>
          </w:p>
        </w:tc>
        <w:tc>
          <w:tcPr>
            <w:tcW w:w="1140" w:type="dxa"/>
            <w:tcBorders>
              <w:top w:val="nil"/>
              <w:left w:val="nil"/>
              <w:bottom w:val="single" w:color="auto" w:sz="8" w:space="0"/>
              <w:right w:val="single" w:color="auto" w:sz="8" w:space="0"/>
            </w:tcBorders>
            <w:shd w:val="clear" w:color="auto" w:fill="auto"/>
            <w:vAlign w:val="center"/>
          </w:tcPr>
          <w:p>
            <w:pPr>
              <w:widowControl/>
              <w:jc w:val="center"/>
              <w:rPr>
                <w:rFonts w:ascii="宋体" w:hAnsi="宋体" w:cs="Arial"/>
                <w:kern w:val="0"/>
                <w:szCs w:val="21"/>
              </w:rPr>
            </w:pPr>
          </w:p>
        </w:tc>
        <w:tc>
          <w:tcPr>
            <w:tcW w:w="1300" w:type="dxa"/>
            <w:tcBorders>
              <w:top w:val="nil"/>
              <w:left w:val="nil"/>
              <w:bottom w:val="single" w:color="auto" w:sz="8" w:space="0"/>
              <w:right w:val="single" w:color="auto" w:sz="8" w:space="0"/>
            </w:tcBorders>
            <w:shd w:val="clear" w:color="auto" w:fill="auto"/>
            <w:vAlign w:val="center"/>
          </w:tcPr>
          <w:p>
            <w:pPr>
              <w:widowControl/>
              <w:jc w:val="center"/>
              <w:rPr>
                <w:rFonts w:ascii="宋体" w:hAnsi="宋体" w:cs="Arial"/>
                <w:b/>
                <w:bCs/>
                <w:kern w:val="0"/>
                <w:szCs w:val="21"/>
              </w:rPr>
            </w:pPr>
          </w:p>
        </w:tc>
        <w:tc>
          <w:tcPr>
            <w:tcW w:w="1382" w:type="dxa"/>
            <w:tcBorders>
              <w:top w:val="nil"/>
              <w:left w:val="nil"/>
              <w:bottom w:val="single" w:color="auto" w:sz="8" w:space="0"/>
              <w:right w:val="single" w:color="auto" w:sz="8" w:space="0"/>
            </w:tcBorders>
            <w:shd w:val="clear" w:color="auto" w:fill="auto"/>
            <w:vAlign w:val="center"/>
          </w:tcPr>
          <w:p>
            <w:pPr>
              <w:widowControl/>
              <w:jc w:val="center"/>
              <w:rPr>
                <w:rFonts w:ascii="宋体" w:hAnsi="宋体" w:cs="Arial"/>
                <w:b/>
                <w:bCs/>
                <w:kern w:val="0"/>
                <w:szCs w:val="21"/>
              </w:rPr>
            </w:pPr>
          </w:p>
        </w:tc>
      </w:tr>
      <w:tr>
        <w:tblPrEx>
          <w:tblLayout w:type="fixed"/>
          <w:tblCellMar>
            <w:top w:w="0" w:type="dxa"/>
            <w:left w:w="108" w:type="dxa"/>
            <w:bottom w:w="0" w:type="dxa"/>
            <w:right w:w="108" w:type="dxa"/>
          </w:tblCellMar>
        </w:tblPrEx>
        <w:trPr>
          <w:trHeight w:val="270" w:hRule="atLeast"/>
          <w:jc w:val="center"/>
        </w:trPr>
        <w:tc>
          <w:tcPr>
            <w:tcW w:w="960" w:type="dxa"/>
            <w:tcBorders>
              <w:top w:val="nil"/>
              <w:left w:val="single" w:color="auto" w:sz="8" w:space="0"/>
              <w:bottom w:val="single" w:color="auto" w:sz="8" w:space="0"/>
              <w:right w:val="single" w:color="auto" w:sz="8" w:space="0"/>
            </w:tcBorders>
            <w:shd w:val="clear" w:color="auto" w:fill="auto"/>
            <w:vAlign w:val="center"/>
          </w:tcPr>
          <w:p>
            <w:pPr>
              <w:widowControl/>
              <w:jc w:val="center"/>
              <w:rPr>
                <w:rFonts w:ascii="宋体" w:hAnsi="宋体" w:cs="Arial"/>
                <w:kern w:val="0"/>
                <w:szCs w:val="21"/>
              </w:rPr>
            </w:pPr>
          </w:p>
        </w:tc>
        <w:tc>
          <w:tcPr>
            <w:tcW w:w="2159" w:type="dxa"/>
            <w:tcBorders>
              <w:top w:val="nil"/>
              <w:left w:val="nil"/>
              <w:bottom w:val="single" w:color="auto" w:sz="8" w:space="0"/>
              <w:right w:val="single" w:color="auto" w:sz="8" w:space="0"/>
            </w:tcBorders>
            <w:shd w:val="clear" w:color="auto" w:fill="auto"/>
            <w:vAlign w:val="center"/>
          </w:tcPr>
          <w:p>
            <w:pPr>
              <w:widowControl/>
              <w:jc w:val="center"/>
              <w:rPr>
                <w:rFonts w:ascii="宋体" w:hAnsi="宋体" w:cs="Arial"/>
                <w:kern w:val="0"/>
                <w:szCs w:val="21"/>
              </w:rPr>
            </w:pPr>
          </w:p>
        </w:tc>
        <w:tc>
          <w:tcPr>
            <w:tcW w:w="881" w:type="dxa"/>
            <w:tcBorders>
              <w:top w:val="nil"/>
              <w:left w:val="nil"/>
              <w:bottom w:val="single" w:color="auto" w:sz="8" w:space="0"/>
              <w:right w:val="single" w:color="auto" w:sz="8" w:space="0"/>
            </w:tcBorders>
            <w:shd w:val="clear" w:color="auto" w:fill="auto"/>
            <w:vAlign w:val="center"/>
          </w:tcPr>
          <w:p>
            <w:pPr>
              <w:widowControl/>
              <w:jc w:val="center"/>
              <w:rPr>
                <w:rFonts w:ascii="宋体" w:hAnsi="宋体" w:cs="Arial"/>
                <w:kern w:val="0"/>
                <w:szCs w:val="21"/>
              </w:rPr>
            </w:pPr>
          </w:p>
        </w:tc>
        <w:tc>
          <w:tcPr>
            <w:tcW w:w="1140" w:type="dxa"/>
            <w:tcBorders>
              <w:top w:val="nil"/>
              <w:left w:val="nil"/>
              <w:bottom w:val="single" w:color="auto" w:sz="8" w:space="0"/>
              <w:right w:val="single" w:color="auto" w:sz="8" w:space="0"/>
            </w:tcBorders>
            <w:shd w:val="clear" w:color="auto" w:fill="auto"/>
            <w:vAlign w:val="center"/>
          </w:tcPr>
          <w:p>
            <w:pPr>
              <w:widowControl/>
              <w:jc w:val="center"/>
              <w:rPr>
                <w:rFonts w:ascii="宋体" w:hAnsi="宋体" w:cs="Arial"/>
                <w:kern w:val="0"/>
                <w:szCs w:val="21"/>
              </w:rPr>
            </w:pPr>
          </w:p>
        </w:tc>
        <w:tc>
          <w:tcPr>
            <w:tcW w:w="1300" w:type="dxa"/>
            <w:tcBorders>
              <w:top w:val="nil"/>
              <w:left w:val="nil"/>
              <w:bottom w:val="single" w:color="auto" w:sz="8" w:space="0"/>
              <w:right w:val="single" w:color="auto" w:sz="8" w:space="0"/>
            </w:tcBorders>
            <w:shd w:val="clear" w:color="auto" w:fill="auto"/>
            <w:vAlign w:val="center"/>
          </w:tcPr>
          <w:p>
            <w:pPr>
              <w:widowControl/>
              <w:jc w:val="center"/>
              <w:rPr>
                <w:rFonts w:ascii="宋体" w:hAnsi="宋体" w:cs="Arial"/>
                <w:b/>
                <w:bCs/>
                <w:kern w:val="0"/>
                <w:szCs w:val="21"/>
              </w:rPr>
            </w:pPr>
          </w:p>
        </w:tc>
        <w:tc>
          <w:tcPr>
            <w:tcW w:w="1382" w:type="dxa"/>
            <w:tcBorders>
              <w:top w:val="nil"/>
              <w:left w:val="nil"/>
              <w:bottom w:val="single" w:color="auto" w:sz="8" w:space="0"/>
              <w:right w:val="single" w:color="auto" w:sz="8" w:space="0"/>
            </w:tcBorders>
            <w:shd w:val="clear" w:color="auto" w:fill="auto"/>
            <w:vAlign w:val="center"/>
          </w:tcPr>
          <w:p>
            <w:pPr>
              <w:widowControl/>
              <w:jc w:val="center"/>
              <w:rPr>
                <w:rFonts w:ascii="宋体" w:hAnsi="宋体" w:cs="Arial"/>
                <w:b/>
                <w:bCs/>
                <w:kern w:val="0"/>
                <w:szCs w:val="21"/>
              </w:rPr>
            </w:pPr>
          </w:p>
        </w:tc>
      </w:tr>
      <w:tr>
        <w:tblPrEx>
          <w:tblLayout w:type="fixed"/>
          <w:tblCellMar>
            <w:top w:w="0" w:type="dxa"/>
            <w:left w:w="108" w:type="dxa"/>
            <w:bottom w:w="0" w:type="dxa"/>
            <w:right w:w="108" w:type="dxa"/>
          </w:tblCellMar>
        </w:tblPrEx>
        <w:trPr>
          <w:trHeight w:val="270" w:hRule="atLeast"/>
          <w:jc w:val="center"/>
        </w:trPr>
        <w:tc>
          <w:tcPr>
            <w:tcW w:w="960" w:type="dxa"/>
            <w:tcBorders>
              <w:top w:val="nil"/>
              <w:left w:val="single" w:color="auto" w:sz="8" w:space="0"/>
              <w:bottom w:val="single" w:color="auto" w:sz="8" w:space="0"/>
              <w:right w:val="single" w:color="auto" w:sz="8" w:space="0"/>
            </w:tcBorders>
            <w:shd w:val="clear" w:color="auto" w:fill="auto"/>
            <w:vAlign w:val="center"/>
          </w:tcPr>
          <w:p>
            <w:pPr>
              <w:widowControl/>
              <w:jc w:val="center"/>
              <w:rPr>
                <w:rFonts w:ascii="宋体" w:hAnsi="宋体" w:cs="Arial"/>
                <w:kern w:val="0"/>
                <w:szCs w:val="21"/>
              </w:rPr>
            </w:pPr>
          </w:p>
        </w:tc>
        <w:tc>
          <w:tcPr>
            <w:tcW w:w="2159" w:type="dxa"/>
            <w:tcBorders>
              <w:top w:val="nil"/>
              <w:left w:val="nil"/>
              <w:bottom w:val="single" w:color="auto" w:sz="8" w:space="0"/>
              <w:right w:val="single" w:color="auto" w:sz="8" w:space="0"/>
            </w:tcBorders>
            <w:shd w:val="clear" w:color="auto" w:fill="auto"/>
            <w:vAlign w:val="center"/>
          </w:tcPr>
          <w:p>
            <w:pPr>
              <w:widowControl/>
              <w:jc w:val="center"/>
              <w:rPr>
                <w:rFonts w:ascii="宋体" w:hAnsi="宋体" w:cs="Arial"/>
                <w:kern w:val="0"/>
                <w:szCs w:val="21"/>
              </w:rPr>
            </w:pPr>
          </w:p>
        </w:tc>
        <w:tc>
          <w:tcPr>
            <w:tcW w:w="881" w:type="dxa"/>
            <w:tcBorders>
              <w:top w:val="nil"/>
              <w:left w:val="nil"/>
              <w:bottom w:val="single" w:color="auto" w:sz="8" w:space="0"/>
              <w:right w:val="single" w:color="auto" w:sz="8" w:space="0"/>
            </w:tcBorders>
            <w:shd w:val="clear" w:color="auto" w:fill="auto"/>
            <w:vAlign w:val="center"/>
          </w:tcPr>
          <w:p>
            <w:pPr>
              <w:widowControl/>
              <w:jc w:val="center"/>
              <w:rPr>
                <w:rFonts w:ascii="宋体" w:hAnsi="宋体" w:cs="Arial"/>
                <w:kern w:val="0"/>
                <w:szCs w:val="21"/>
              </w:rPr>
            </w:pPr>
          </w:p>
        </w:tc>
        <w:tc>
          <w:tcPr>
            <w:tcW w:w="1140" w:type="dxa"/>
            <w:tcBorders>
              <w:top w:val="nil"/>
              <w:left w:val="nil"/>
              <w:bottom w:val="single" w:color="auto" w:sz="8" w:space="0"/>
              <w:right w:val="single" w:color="auto" w:sz="8" w:space="0"/>
            </w:tcBorders>
            <w:shd w:val="clear" w:color="auto" w:fill="auto"/>
            <w:vAlign w:val="center"/>
          </w:tcPr>
          <w:p>
            <w:pPr>
              <w:widowControl/>
              <w:jc w:val="center"/>
              <w:rPr>
                <w:rFonts w:ascii="宋体" w:hAnsi="宋体" w:cs="Arial"/>
                <w:kern w:val="0"/>
                <w:szCs w:val="21"/>
              </w:rPr>
            </w:pPr>
          </w:p>
        </w:tc>
        <w:tc>
          <w:tcPr>
            <w:tcW w:w="1300" w:type="dxa"/>
            <w:tcBorders>
              <w:top w:val="nil"/>
              <w:left w:val="nil"/>
              <w:bottom w:val="single" w:color="auto" w:sz="8" w:space="0"/>
              <w:right w:val="single" w:color="auto" w:sz="8" w:space="0"/>
            </w:tcBorders>
            <w:shd w:val="clear" w:color="auto" w:fill="auto"/>
            <w:vAlign w:val="center"/>
          </w:tcPr>
          <w:p>
            <w:pPr>
              <w:widowControl/>
              <w:jc w:val="center"/>
              <w:rPr>
                <w:rFonts w:ascii="宋体" w:hAnsi="宋体" w:cs="Arial"/>
                <w:b/>
                <w:bCs/>
                <w:kern w:val="0"/>
                <w:szCs w:val="21"/>
              </w:rPr>
            </w:pPr>
          </w:p>
        </w:tc>
        <w:tc>
          <w:tcPr>
            <w:tcW w:w="1382" w:type="dxa"/>
            <w:tcBorders>
              <w:top w:val="nil"/>
              <w:left w:val="nil"/>
              <w:bottom w:val="single" w:color="auto" w:sz="8" w:space="0"/>
              <w:right w:val="single" w:color="auto" w:sz="8" w:space="0"/>
            </w:tcBorders>
            <w:shd w:val="clear" w:color="auto" w:fill="auto"/>
            <w:vAlign w:val="center"/>
          </w:tcPr>
          <w:p>
            <w:pPr>
              <w:widowControl/>
              <w:jc w:val="center"/>
              <w:rPr>
                <w:rFonts w:ascii="宋体" w:hAnsi="宋体" w:cs="Arial"/>
                <w:b/>
                <w:bCs/>
                <w:kern w:val="0"/>
                <w:szCs w:val="21"/>
              </w:rPr>
            </w:pPr>
          </w:p>
        </w:tc>
      </w:tr>
    </w:tbl>
    <w:p>
      <w:pPr>
        <w:spacing w:before="240" w:after="240" w:line="360" w:lineRule="auto"/>
        <w:rPr>
          <w:rFonts w:ascii="宋体" w:hAnsi="宋体" w:eastAsia="宋体" w:cs="Times New Roman"/>
          <w:b/>
          <w:color w:val="auto"/>
          <w:sz w:val="24"/>
          <w:szCs w:val="24"/>
        </w:rPr>
      </w:pPr>
      <w:r>
        <w:rPr>
          <w:rFonts w:hint="eastAsia" w:ascii="宋体" w:hAnsi="宋体" w:eastAsia="宋体" w:cs="Times New Roman"/>
          <w:b/>
          <w:color w:val="auto"/>
          <w:sz w:val="24"/>
          <w:szCs w:val="24"/>
        </w:rPr>
        <w:t>二、工作环境</w:t>
      </w:r>
    </w:p>
    <w:p>
      <w:pPr>
        <w:spacing w:line="360" w:lineRule="auto"/>
        <w:ind w:firstLine="420" w:firstLineChars="200"/>
        <w:rPr>
          <w:rFonts w:ascii="宋体" w:hAnsi="宋体" w:eastAsia="宋体" w:cs="Times New Roman"/>
          <w:color w:val="auto"/>
          <w:sz w:val="21"/>
          <w:szCs w:val="21"/>
        </w:rPr>
      </w:pPr>
      <w:r>
        <w:rPr>
          <w:rFonts w:hint="eastAsia" w:ascii="宋体" w:hAnsi="宋体" w:eastAsia="宋体" w:cs="Times New Roman"/>
          <w:color w:val="auto"/>
          <w:sz w:val="21"/>
          <w:szCs w:val="21"/>
        </w:rPr>
        <w:t>使用环境：</w:t>
      </w:r>
      <w:r>
        <w:rPr>
          <w:rFonts w:hint="eastAsia" w:ascii="宋体" w:hAnsi="宋体" w:eastAsia="宋体" w:cs="Times New Roman"/>
          <w:color w:val="auto"/>
          <w:sz w:val="21"/>
          <w:szCs w:val="21"/>
          <w:u w:val="single"/>
        </w:rPr>
        <w:t xml:space="preserve"> 企业局域网   </w:t>
      </w:r>
      <w:r>
        <w:rPr>
          <w:rFonts w:hint="eastAsia" w:ascii="宋体" w:hAnsi="宋体" w:eastAsia="宋体" w:cs="Times New Roman"/>
          <w:color w:val="auto"/>
          <w:sz w:val="21"/>
          <w:szCs w:val="21"/>
        </w:rPr>
        <w:t>。</w:t>
      </w:r>
    </w:p>
    <w:p>
      <w:pPr>
        <w:spacing w:line="360" w:lineRule="auto"/>
        <w:ind w:firstLine="420" w:firstLineChars="200"/>
        <w:rPr>
          <w:rFonts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安装地点：</w:t>
      </w:r>
      <w:r>
        <w:rPr>
          <w:rFonts w:hint="eastAsia" w:ascii="宋体" w:hAnsi="宋体" w:eastAsia="宋体" w:cs="Times New Roman"/>
          <w:color w:val="auto"/>
          <w:sz w:val="21"/>
          <w:szCs w:val="21"/>
          <w:highlight w:val="none"/>
          <w:u w:val="single"/>
        </w:rPr>
        <w:t xml:space="preserve">   </w:t>
      </w:r>
      <w:r>
        <w:rPr>
          <w:rFonts w:hint="eastAsia" w:ascii="宋体" w:hAnsi="宋体" w:eastAsia="宋体" w:cs="Times New Roman"/>
          <w:color w:val="auto"/>
          <w:sz w:val="21"/>
          <w:szCs w:val="21"/>
          <w:highlight w:val="none"/>
          <w:u w:val="single"/>
          <w:lang w:val="en-US" w:eastAsia="zh-CN"/>
        </w:rPr>
        <w:t>神东指定地点</w:t>
      </w:r>
      <w:r>
        <w:rPr>
          <w:rFonts w:hint="eastAsia" w:ascii="宋体" w:hAnsi="宋体" w:eastAsia="宋体" w:cs="Times New Roman"/>
          <w:color w:val="auto"/>
          <w:sz w:val="21"/>
          <w:szCs w:val="21"/>
          <w:highlight w:val="none"/>
          <w:u w:val="single"/>
        </w:rPr>
        <w:t xml:space="preserve">   </w:t>
      </w:r>
      <w:r>
        <w:rPr>
          <w:rFonts w:hint="eastAsia" w:ascii="宋体" w:hAnsi="宋体" w:eastAsia="宋体" w:cs="Times New Roman"/>
          <w:color w:val="auto"/>
          <w:sz w:val="21"/>
          <w:szCs w:val="21"/>
          <w:highlight w:val="none"/>
        </w:rPr>
        <w:t>。</w:t>
      </w:r>
    </w:p>
    <w:p>
      <w:pPr>
        <w:spacing w:line="360" w:lineRule="auto"/>
        <w:rPr>
          <w:rFonts w:ascii="宋体" w:hAnsi="宋体" w:eastAsia="宋体" w:cs="Times New Roman"/>
          <w:color w:val="auto"/>
          <w:sz w:val="24"/>
          <w:szCs w:val="24"/>
        </w:rPr>
      </w:pPr>
      <w:r>
        <w:rPr>
          <w:rFonts w:hint="eastAsia" w:ascii="宋体" w:hAnsi="宋体" w:eastAsia="宋体" w:cs="Times New Roman"/>
          <w:b/>
          <w:color w:val="auto"/>
          <w:sz w:val="24"/>
          <w:szCs w:val="24"/>
        </w:rPr>
        <w:t>三、技术参数及要求</w:t>
      </w:r>
    </w:p>
    <w:p>
      <w:pPr>
        <w:spacing w:line="360" w:lineRule="auto"/>
        <w:ind w:firstLine="482" w:firstLineChars="200"/>
        <w:rPr>
          <w:rFonts w:ascii="宋体" w:hAnsi="宋体" w:eastAsia="宋体" w:cs="Times New Roman"/>
          <w:b/>
          <w:bCs/>
          <w:color w:val="auto"/>
          <w:sz w:val="24"/>
          <w:szCs w:val="24"/>
        </w:rPr>
      </w:pPr>
      <w:r>
        <w:rPr>
          <w:rFonts w:ascii="宋体" w:hAnsi="宋体" w:eastAsia="宋体" w:cs="Times New Roman"/>
          <w:b/>
          <w:bCs/>
          <w:color w:val="auto"/>
          <w:sz w:val="24"/>
          <w:szCs w:val="24"/>
        </w:rPr>
        <w:t>1.</w:t>
      </w:r>
      <w:r>
        <w:rPr>
          <w:rFonts w:hint="eastAsia" w:ascii="宋体" w:hAnsi="宋体" w:eastAsia="宋体" w:cs="Times New Roman"/>
          <w:b/>
          <w:bCs/>
          <w:color w:val="auto"/>
          <w:sz w:val="24"/>
          <w:szCs w:val="24"/>
        </w:rPr>
        <w:t xml:space="preserve"> 技术参数</w:t>
      </w:r>
    </w:p>
    <w:p>
      <w:pPr>
        <w:spacing w:line="360" w:lineRule="auto"/>
        <w:ind w:firstLine="420" w:firstLineChars="200"/>
        <w:rPr>
          <w:rFonts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1.1购买数量：</w:t>
      </w:r>
      <w:r>
        <w:rPr>
          <w:rFonts w:hint="eastAsia" w:ascii="宋体" w:hAnsi="宋体" w:eastAsia="宋体" w:cs="Times New Roman"/>
          <w:color w:val="auto"/>
          <w:sz w:val="21"/>
          <w:szCs w:val="21"/>
          <w:highlight w:val="none"/>
          <w:u w:val="single"/>
        </w:rPr>
        <w:t xml:space="preserve">   16套     </w:t>
      </w:r>
      <w:r>
        <w:rPr>
          <w:rFonts w:hint="eastAsia" w:ascii="宋体" w:hAnsi="宋体" w:eastAsia="宋体" w:cs="Times New Roman"/>
          <w:color w:val="auto"/>
          <w:sz w:val="21"/>
          <w:szCs w:val="21"/>
          <w:highlight w:val="none"/>
        </w:rPr>
        <w:t>。</w:t>
      </w:r>
    </w:p>
    <w:p>
      <w:pPr>
        <w:spacing w:line="360" w:lineRule="auto"/>
        <w:ind w:firstLine="420" w:firstLineChars="200"/>
        <w:rPr>
          <w:rFonts w:hint="eastAsia" w:ascii="宋体" w:hAnsi="宋体" w:eastAsia="宋体" w:cs="Times New Roman"/>
          <w:color w:val="auto"/>
          <w:sz w:val="21"/>
          <w:szCs w:val="21"/>
        </w:rPr>
      </w:pPr>
      <w:r>
        <w:rPr>
          <w:rFonts w:hint="eastAsia" w:ascii="宋体" w:hAnsi="宋体" w:eastAsia="宋体" w:cs="Times New Roman"/>
          <w:color w:val="auto"/>
          <w:sz w:val="21"/>
          <w:szCs w:val="21"/>
        </w:rPr>
        <w:t>1.2软件版本：</w:t>
      </w:r>
    </w:p>
    <w:tbl>
      <w:tblPr>
        <w:tblStyle w:val="9"/>
        <w:tblW w:w="5771" w:type="dxa"/>
        <w:jc w:val="center"/>
        <w:tblInd w:w="45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635"/>
        <w:gridCol w:w="2528"/>
        <w:gridCol w:w="26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97" w:hRule="atLeast"/>
          <w:jc w:val="center"/>
        </w:trPr>
        <w:tc>
          <w:tcPr>
            <w:tcW w:w="635"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eastAsia="宋体" w:cs="Times New Roman"/>
                <w:color w:val="auto"/>
                <w:sz w:val="21"/>
                <w:szCs w:val="21"/>
              </w:rPr>
            </w:pPr>
            <w:r>
              <w:rPr>
                <w:rFonts w:hint="eastAsia" w:ascii="宋体" w:hAnsi="宋体" w:eastAsia="宋体" w:cs="Times New Roman"/>
                <w:color w:val="auto"/>
                <w:sz w:val="21"/>
                <w:szCs w:val="21"/>
              </w:rPr>
              <w:t>序号</w:t>
            </w:r>
          </w:p>
        </w:tc>
        <w:tc>
          <w:tcPr>
            <w:tcW w:w="2528"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eastAsia="宋体" w:cs="Times New Roman"/>
                <w:color w:val="auto"/>
                <w:sz w:val="21"/>
                <w:szCs w:val="21"/>
              </w:rPr>
            </w:pPr>
            <w:r>
              <w:rPr>
                <w:rFonts w:hint="eastAsia" w:ascii="宋体" w:hAnsi="宋体" w:eastAsia="宋体" w:cs="Times New Roman"/>
                <w:color w:val="auto"/>
                <w:sz w:val="21"/>
                <w:szCs w:val="21"/>
              </w:rPr>
              <w:t>名称</w:t>
            </w:r>
          </w:p>
        </w:tc>
        <w:tc>
          <w:tcPr>
            <w:tcW w:w="2608"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eastAsia="宋体" w:cs="Times New Roman"/>
                <w:color w:val="auto"/>
                <w:sz w:val="21"/>
                <w:szCs w:val="21"/>
              </w:rPr>
            </w:pPr>
            <w:r>
              <w:rPr>
                <w:rFonts w:hint="eastAsia" w:ascii="宋体" w:hAnsi="宋体" w:eastAsia="宋体" w:cs="Times New Roman"/>
                <w:color w:val="auto"/>
                <w:sz w:val="21"/>
                <w:szCs w:val="21"/>
              </w:rPr>
              <w:t>版本号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90" w:hRule="atLeast"/>
          <w:jc w:val="center"/>
        </w:trPr>
        <w:tc>
          <w:tcPr>
            <w:tcW w:w="635"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1</w:t>
            </w:r>
          </w:p>
        </w:tc>
        <w:tc>
          <w:tcPr>
            <w:tcW w:w="2528"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rPr>
                <w:rFonts w:ascii="宋体" w:hAnsi="宋体" w:eastAsia="宋体" w:cs="Times New Roman"/>
                <w:color w:val="auto"/>
                <w:sz w:val="21"/>
                <w:szCs w:val="21"/>
                <w:highlight w:val="none"/>
              </w:rPr>
            </w:pPr>
            <w:r>
              <w:rPr>
                <w:rFonts w:hint="eastAsia" w:ascii="宋体" w:hAnsi="宋体" w:cs="宋体"/>
                <w:color w:val="auto"/>
                <w:kern w:val="0"/>
                <w:sz w:val="21"/>
                <w:szCs w:val="21"/>
                <w:highlight w:val="none"/>
                <w:lang w:eastAsia="zh-CN" w:bidi="ar"/>
              </w:rPr>
              <w:t>Universal</w:t>
            </w:r>
            <w:r>
              <w:rPr>
                <w:rFonts w:hint="eastAsia" w:ascii="宋体" w:hAnsi="宋体" w:cs="宋体"/>
                <w:color w:val="auto"/>
                <w:kern w:val="0"/>
                <w:sz w:val="21"/>
                <w:szCs w:val="21"/>
                <w:highlight w:val="none"/>
                <w:lang w:val="en-US" w:eastAsia="zh-CN" w:bidi="ar"/>
              </w:rPr>
              <w:t xml:space="preserve"> </w:t>
            </w:r>
            <w:r>
              <w:rPr>
                <w:rFonts w:hint="eastAsia" w:ascii="宋体" w:hAnsi="宋体" w:cs="宋体"/>
                <w:color w:val="auto"/>
                <w:kern w:val="0"/>
                <w:sz w:val="21"/>
                <w:szCs w:val="21"/>
                <w:highlight w:val="none"/>
                <w:lang w:bidi="ar"/>
              </w:rPr>
              <w:t>OPC Server</w:t>
            </w:r>
          </w:p>
        </w:tc>
        <w:tc>
          <w:tcPr>
            <w:tcW w:w="2608"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V 2.0.0.573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97" w:hRule="atLeast"/>
          <w:jc w:val="center"/>
        </w:trPr>
        <w:tc>
          <w:tcPr>
            <w:tcW w:w="635"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eastAsia="宋体" w:cs="Times New Roman"/>
                <w:color w:val="auto"/>
                <w:sz w:val="21"/>
                <w:szCs w:val="21"/>
              </w:rPr>
            </w:pPr>
            <w:r>
              <w:rPr>
                <w:rFonts w:hint="eastAsia" w:ascii="宋体" w:hAnsi="宋体" w:eastAsia="宋体" w:cs="Times New Roman"/>
                <w:color w:val="auto"/>
                <w:sz w:val="21"/>
                <w:szCs w:val="21"/>
              </w:rPr>
              <w:t>2</w:t>
            </w:r>
          </w:p>
        </w:tc>
        <w:tc>
          <w:tcPr>
            <w:tcW w:w="2528" w:type="dxa"/>
            <w:tcBorders>
              <w:top w:val="single" w:color="auto" w:sz="4" w:space="0"/>
              <w:left w:val="single" w:color="auto" w:sz="4" w:space="0"/>
              <w:bottom w:val="single" w:color="auto" w:sz="4" w:space="0"/>
              <w:right w:val="single" w:color="auto" w:sz="4" w:space="0"/>
            </w:tcBorders>
            <w:vAlign w:val="center"/>
          </w:tcPr>
          <w:p>
            <w:pPr>
              <w:widowControl/>
              <w:textAlignment w:val="center"/>
              <w:rPr>
                <w:rFonts w:ascii="宋体" w:hAnsi="宋体" w:cs="宋体"/>
                <w:color w:val="auto"/>
                <w:spacing w:val="2"/>
                <w:kern w:val="0"/>
                <w:sz w:val="21"/>
                <w:szCs w:val="21"/>
              </w:rPr>
            </w:pPr>
            <w:r>
              <w:rPr>
                <w:rFonts w:hint="eastAsia" w:ascii="宋体" w:hAnsi="宋体" w:cs="宋体"/>
                <w:color w:val="auto"/>
                <w:kern w:val="0"/>
                <w:sz w:val="21"/>
                <w:szCs w:val="21"/>
                <w:lang w:bidi="ar"/>
              </w:rPr>
              <w:t>Modbus Server</w:t>
            </w:r>
          </w:p>
        </w:tc>
        <w:tc>
          <w:tcPr>
            <w:tcW w:w="2608"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eastAsia="宋体" w:cs="Times New Roman"/>
                <w:color w:val="auto"/>
                <w:sz w:val="21"/>
                <w:szCs w:val="21"/>
              </w:rPr>
            </w:pPr>
            <w:r>
              <w:rPr>
                <w:rFonts w:hint="eastAsia" w:ascii="宋体" w:hAnsi="宋体" w:eastAsia="宋体" w:cs="Times New Roman"/>
                <w:color w:val="auto"/>
                <w:sz w:val="21"/>
                <w:szCs w:val="21"/>
              </w:rPr>
              <w:t>V 5.0.5.6057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97" w:hRule="atLeast"/>
          <w:jc w:val="center"/>
        </w:trPr>
        <w:tc>
          <w:tcPr>
            <w:tcW w:w="635"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eastAsia="宋体" w:cs="Times New Roman"/>
                <w:color w:val="auto"/>
                <w:sz w:val="21"/>
                <w:szCs w:val="21"/>
              </w:rPr>
            </w:pPr>
            <w:r>
              <w:rPr>
                <w:rFonts w:hint="eastAsia" w:ascii="宋体" w:hAnsi="宋体" w:eastAsia="宋体" w:cs="Times New Roman"/>
                <w:color w:val="auto"/>
                <w:sz w:val="21"/>
                <w:szCs w:val="21"/>
              </w:rPr>
              <w:t>3</w:t>
            </w:r>
          </w:p>
        </w:tc>
        <w:tc>
          <w:tcPr>
            <w:tcW w:w="2528" w:type="dxa"/>
            <w:tcBorders>
              <w:top w:val="single" w:color="auto" w:sz="4" w:space="0"/>
              <w:left w:val="single" w:color="auto" w:sz="4" w:space="0"/>
              <w:bottom w:val="single" w:color="auto" w:sz="4" w:space="0"/>
              <w:right w:val="single" w:color="auto" w:sz="4" w:space="0"/>
            </w:tcBorders>
            <w:vAlign w:val="center"/>
          </w:tcPr>
          <w:p>
            <w:pPr>
              <w:widowControl/>
              <w:textAlignment w:val="center"/>
              <w:rPr>
                <w:rFonts w:ascii="宋体" w:hAnsi="宋体" w:cs="宋体"/>
                <w:color w:val="auto"/>
                <w:kern w:val="0"/>
                <w:sz w:val="21"/>
                <w:szCs w:val="21"/>
              </w:rPr>
            </w:pPr>
            <w:r>
              <w:rPr>
                <w:rFonts w:hint="eastAsia" w:ascii="宋体" w:hAnsi="宋体" w:cs="宋体"/>
                <w:color w:val="auto"/>
                <w:kern w:val="0"/>
                <w:sz w:val="21"/>
                <w:szCs w:val="21"/>
                <w:lang w:bidi="ar"/>
              </w:rPr>
              <w:t>OPC UA Proxy</w:t>
            </w:r>
          </w:p>
        </w:tc>
        <w:tc>
          <w:tcPr>
            <w:tcW w:w="2608"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eastAsia="宋体" w:cs="Times New Roman"/>
                <w:color w:val="auto"/>
                <w:sz w:val="21"/>
                <w:szCs w:val="21"/>
              </w:rPr>
            </w:pPr>
            <w:r>
              <w:rPr>
                <w:rFonts w:hint="eastAsia" w:ascii="宋体" w:hAnsi="宋体" w:eastAsia="宋体" w:cs="Times New Roman"/>
                <w:color w:val="auto"/>
                <w:sz w:val="21"/>
                <w:szCs w:val="21"/>
              </w:rPr>
              <w:t>V 2.1.0.19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19" w:hRule="atLeast"/>
          <w:jc w:val="center"/>
        </w:trPr>
        <w:tc>
          <w:tcPr>
            <w:tcW w:w="635"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eastAsia="宋体" w:cs="Times New Roman"/>
                <w:color w:val="auto"/>
                <w:sz w:val="21"/>
                <w:szCs w:val="21"/>
              </w:rPr>
            </w:pPr>
            <w:r>
              <w:rPr>
                <w:rFonts w:hint="eastAsia" w:ascii="宋体" w:hAnsi="宋体" w:eastAsia="宋体" w:cs="Times New Roman"/>
                <w:color w:val="auto"/>
                <w:sz w:val="21"/>
                <w:szCs w:val="21"/>
              </w:rPr>
              <w:t>4</w:t>
            </w:r>
          </w:p>
        </w:tc>
        <w:tc>
          <w:tcPr>
            <w:tcW w:w="2528" w:type="dxa"/>
            <w:tcBorders>
              <w:top w:val="single" w:color="auto" w:sz="4" w:space="0"/>
              <w:left w:val="single" w:color="auto" w:sz="4" w:space="0"/>
              <w:bottom w:val="single" w:color="auto" w:sz="4" w:space="0"/>
              <w:right w:val="single" w:color="auto" w:sz="4" w:space="0"/>
            </w:tcBorders>
            <w:vAlign w:val="center"/>
          </w:tcPr>
          <w:p>
            <w:pPr>
              <w:widowControl/>
              <w:textAlignment w:val="center"/>
              <w:rPr>
                <w:rFonts w:ascii="宋体" w:hAnsi="宋体" w:cs="宋体"/>
                <w:color w:val="auto"/>
                <w:kern w:val="0"/>
                <w:sz w:val="21"/>
                <w:szCs w:val="21"/>
              </w:rPr>
            </w:pPr>
            <w:r>
              <w:rPr>
                <w:rFonts w:hint="eastAsia" w:ascii="宋体" w:hAnsi="宋体" w:cs="宋体"/>
                <w:color w:val="auto"/>
                <w:kern w:val="0"/>
                <w:sz w:val="21"/>
                <w:szCs w:val="21"/>
                <w:lang w:bidi="ar"/>
              </w:rPr>
              <w:t>Tunneller(DA+HDA)</w:t>
            </w:r>
          </w:p>
        </w:tc>
        <w:tc>
          <w:tcPr>
            <w:tcW w:w="2608"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eastAsia="宋体" w:cs="Times New Roman"/>
                <w:color w:val="auto"/>
                <w:sz w:val="21"/>
                <w:szCs w:val="21"/>
              </w:rPr>
            </w:pPr>
            <w:r>
              <w:rPr>
                <w:rFonts w:hint="eastAsia" w:ascii="宋体" w:hAnsi="宋体" w:eastAsia="宋体" w:cs="Times New Roman"/>
                <w:color w:val="auto"/>
                <w:sz w:val="21"/>
                <w:szCs w:val="21"/>
              </w:rPr>
              <w:t>V 5.5.0.6744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97" w:hRule="atLeast"/>
          <w:jc w:val="center"/>
        </w:trPr>
        <w:tc>
          <w:tcPr>
            <w:tcW w:w="635"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eastAsia="宋体" w:cs="Times New Roman"/>
                <w:color w:val="auto"/>
                <w:sz w:val="21"/>
                <w:szCs w:val="21"/>
              </w:rPr>
            </w:pPr>
            <w:r>
              <w:rPr>
                <w:rFonts w:hint="eastAsia" w:ascii="宋体" w:hAnsi="宋体" w:eastAsia="宋体" w:cs="Times New Roman"/>
                <w:color w:val="auto"/>
                <w:sz w:val="21"/>
                <w:szCs w:val="21"/>
              </w:rPr>
              <w:t>5</w:t>
            </w:r>
          </w:p>
        </w:tc>
        <w:tc>
          <w:tcPr>
            <w:tcW w:w="2528" w:type="dxa"/>
            <w:tcBorders>
              <w:top w:val="single" w:color="auto" w:sz="4" w:space="0"/>
              <w:left w:val="single" w:color="auto" w:sz="4" w:space="0"/>
              <w:bottom w:val="single" w:color="auto" w:sz="4" w:space="0"/>
              <w:right w:val="single" w:color="auto" w:sz="4" w:space="0"/>
            </w:tcBorders>
            <w:vAlign w:val="center"/>
          </w:tcPr>
          <w:p>
            <w:pPr>
              <w:widowControl/>
              <w:textAlignment w:val="center"/>
              <w:rPr>
                <w:rFonts w:ascii="宋体" w:hAnsi="宋体" w:cs="宋体"/>
                <w:color w:val="auto"/>
                <w:kern w:val="0"/>
                <w:sz w:val="21"/>
                <w:szCs w:val="21"/>
              </w:rPr>
            </w:pPr>
            <w:r>
              <w:rPr>
                <w:rFonts w:hint="eastAsia" w:ascii="宋体" w:hAnsi="宋体" w:cs="宋体"/>
                <w:color w:val="auto"/>
                <w:kern w:val="0"/>
                <w:sz w:val="21"/>
                <w:szCs w:val="21"/>
                <w:lang w:bidi="ar"/>
              </w:rPr>
              <w:t>OPC Client for ODBC</w:t>
            </w:r>
          </w:p>
        </w:tc>
        <w:tc>
          <w:tcPr>
            <w:tcW w:w="2608"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eastAsia="宋体" w:cs="Times New Roman"/>
                <w:color w:val="auto"/>
                <w:sz w:val="21"/>
                <w:szCs w:val="21"/>
              </w:rPr>
            </w:pPr>
            <w:r>
              <w:rPr>
                <w:rFonts w:ascii="宋体" w:hAnsi="宋体" w:eastAsia="宋体" w:cs="Times New Roman"/>
                <w:color w:val="auto"/>
                <w:sz w:val="21"/>
                <w:szCs w:val="21"/>
              </w:rPr>
              <w:t>v 3.1.4.0</w:t>
            </w:r>
          </w:p>
        </w:tc>
      </w:tr>
    </w:tbl>
    <w:p>
      <w:pPr>
        <w:spacing w:line="360" w:lineRule="auto"/>
        <w:ind w:firstLine="420" w:firstLineChars="200"/>
        <w:rPr>
          <w:rFonts w:hint="eastAsia" w:ascii="宋体" w:hAnsi="宋体" w:eastAsia="宋体" w:cs="Arial"/>
          <w:color w:val="auto"/>
          <w:sz w:val="21"/>
          <w:szCs w:val="21"/>
        </w:rPr>
      </w:pPr>
      <w:r>
        <w:rPr>
          <w:rFonts w:hint="eastAsia" w:ascii="宋体" w:hAnsi="宋体" w:eastAsia="宋体" w:cs="Arial"/>
          <w:color w:val="auto"/>
          <w:sz w:val="21"/>
          <w:szCs w:val="21"/>
        </w:rPr>
        <w:t>1.3包装说明：</w:t>
      </w:r>
      <w:r>
        <w:rPr>
          <w:rFonts w:hint="eastAsia" w:ascii="宋体" w:hAnsi="宋体" w:eastAsia="宋体" w:cs="Arial"/>
          <w:color w:val="auto"/>
          <w:sz w:val="21"/>
          <w:szCs w:val="21"/>
          <w:u w:val="single"/>
        </w:rPr>
        <w:t xml:space="preserve">     光盘    。</w:t>
      </w:r>
      <w:r>
        <w:rPr>
          <w:rFonts w:hint="eastAsia" w:ascii="宋体" w:hAnsi="宋体" w:eastAsia="宋体" w:cs="Arial"/>
          <w:color w:val="auto"/>
          <w:sz w:val="21"/>
          <w:szCs w:val="21"/>
        </w:rPr>
        <w:t xml:space="preserve">  </w:t>
      </w:r>
    </w:p>
    <w:p>
      <w:pPr>
        <w:spacing w:line="360" w:lineRule="auto"/>
        <w:ind w:firstLine="420" w:firstLineChars="200"/>
        <w:rPr>
          <w:rFonts w:hint="eastAsia" w:ascii="宋体" w:hAnsi="宋体" w:eastAsia="宋体" w:cs="Arial"/>
          <w:color w:val="auto"/>
          <w:sz w:val="21"/>
          <w:szCs w:val="21"/>
          <w:u w:val="single"/>
        </w:rPr>
      </w:pPr>
      <w:r>
        <w:rPr>
          <w:rFonts w:hint="eastAsia" w:ascii="宋体" w:hAnsi="宋体" w:eastAsia="宋体" w:cs="Arial"/>
          <w:color w:val="auto"/>
          <w:sz w:val="21"/>
          <w:szCs w:val="21"/>
        </w:rPr>
        <w:t>1.</w:t>
      </w:r>
      <w:r>
        <w:rPr>
          <w:rFonts w:hint="eastAsia" w:ascii="宋体" w:hAnsi="宋体" w:eastAsia="宋体" w:cs="Arial"/>
          <w:color w:val="auto"/>
          <w:sz w:val="21"/>
          <w:szCs w:val="21"/>
          <w:lang w:val="en-US" w:eastAsia="zh-CN"/>
        </w:rPr>
        <w:t>4</w:t>
      </w:r>
      <w:r>
        <w:rPr>
          <w:rFonts w:hint="eastAsia" w:ascii="宋体" w:hAnsi="宋体" w:eastAsia="宋体" w:cs="Arial"/>
          <w:color w:val="auto"/>
          <w:sz w:val="21"/>
          <w:szCs w:val="21"/>
        </w:rPr>
        <w:t>使用软件环境：</w:t>
      </w:r>
      <w:r>
        <w:rPr>
          <w:rFonts w:hint="eastAsia" w:ascii="宋体" w:hAnsi="宋体" w:eastAsia="宋体" w:cs="Arial"/>
          <w:color w:val="auto"/>
          <w:sz w:val="21"/>
          <w:szCs w:val="21"/>
          <w:u w:val="single"/>
        </w:rPr>
        <w:t xml:space="preserve">    Microsoft Windows</w:t>
      </w:r>
      <w:r>
        <w:rPr>
          <w:rFonts w:hint="eastAsia" w:ascii="宋体" w:hAnsi="宋体" w:eastAsia="宋体" w:cs="Arial"/>
          <w:color w:val="auto"/>
          <w:sz w:val="21"/>
          <w:szCs w:val="21"/>
          <w:u w:val="single"/>
          <w:lang w:eastAsia="zh-CN"/>
        </w:rPr>
        <w:t>操作系统</w:t>
      </w:r>
      <w:r>
        <w:rPr>
          <w:rFonts w:hint="eastAsia" w:ascii="宋体" w:hAnsi="宋体" w:eastAsia="宋体" w:cs="Arial"/>
          <w:color w:val="auto"/>
          <w:sz w:val="21"/>
          <w:szCs w:val="21"/>
          <w:u w:val="single"/>
          <w:lang w:val="en-US" w:eastAsia="zh-CN"/>
        </w:rPr>
        <w:t xml:space="preserve">   </w:t>
      </w:r>
      <w:r>
        <w:rPr>
          <w:rFonts w:hint="eastAsia" w:ascii="宋体" w:hAnsi="宋体" w:eastAsia="宋体" w:cs="Arial"/>
          <w:color w:val="auto"/>
          <w:sz w:val="21"/>
          <w:szCs w:val="21"/>
          <w:u w:val="single"/>
          <w:lang w:eastAsia="zh-CN"/>
        </w:rPr>
        <w:t>。</w:t>
      </w:r>
      <w:r>
        <w:rPr>
          <w:rFonts w:hint="eastAsia" w:ascii="宋体" w:hAnsi="宋体" w:eastAsia="宋体" w:cs="Arial"/>
          <w:color w:val="auto"/>
          <w:sz w:val="21"/>
          <w:szCs w:val="21"/>
          <w:u w:val="single"/>
          <w:lang w:val="en-US" w:eastAsia="zh-CN"/>
        </w:rPr>
        <w:t xml:space="preserve"> </w:t>
      </w:r>
      <w:r>
        <w:rPr>
          <w:rFonts w:hint="eastAsia" w:ascii="宋体" w:hAnsi="宋体" w:eastAsia="宋体" w:cs="Arial"/>
          <w:color w:val="auto"/>
          <w:sz w:val="21"/>
          <w:szCs w:val="21"/>
          <w:u w:val="single"/>
        </w:rPr>
        <w:t xml:space="preserve">   </w:t>
      </w:r>
    </w:p>
    <w:p>
      <w:pPr>
        <w:spacing w:line="360" w:lineRule="auto"/>
        <w:ind w:firstLine="420" w:firstLineChars="200"/>
        <w:rPr>
          <w:rFonts w:ascii="宋体" w:hAnsi="宋体" w:eastAsia="宋体" w:cs="Arial"/>
          <w:color w:val="auto"/>
          <w:sz w:val="21"/>
          <w:szCs w:val="21"/>
        </w:rPr>
      </w:pPr>
      <w:r>
        <w:rPr>
          <w:rFonts w:hint="eastAsia" w:ascii="宋体" w:hAnsi="宋体" w:eastAsia="宋体" w:cs="Arial"/>
          <w:color w:val="auto"/>
          <w:sz w:val="21"/>
          <w:szCs w:val="21"/>
        </w:rPr>
        <w:t>1.</w:t>
      </w:r>
      <w:r>
        <w:rPr>
          <w:rFonts w:hint="eastAsia" w:ascii="宋体" w:hAnsi="宋体" w:eastAsia="宋体" w:cs="Arial"/>
          <w:color w:val="auto"/>
          <w:sz w:val="21"/>
          <w:szCs w:val="21"/>
          <w:lang w:val="en-US" w:eastAsia="zh-CN"/>
        </w:rPr>
        <w:t>5</w:t>
      </w:r>
      <w:r>
        <w:rPr>
          <w:rFonts w:hint="eastAsia" w:ascii="宋体" w:hAnsi="宋体" w:eastAsia="宋体" w:cs="Arial"/>
          <w:color w:val="auto"/>
          <w:sz w:val="21"/>
          <w:szCs w:val="21"/>
        </w:rPr>
        <w:t>许可数量</w:t>
      </w:r>
      <w:r>
        <w:rPr>
          <w:rFonts w:hint="eastAsia" w:ascii="宋体" w:hAnsi="宋体" w:eastAsia="宋体" w:cs="Times New Roman"/>
          <w:color w:val="auto"/>
          <w:sz w:val="21"/>
          <w:szCs w:val="21"/>
        </w:rPr>
        <w:t>：</w:t>
      </w:r>
      <w:r>
        <w:rPr>
          <w:rFonts w:hint="eastAsia" w:ascii="宋体" w:hAnsi="宋体" w:eastAsia="宋体" w:cs="Times New Roman"/>
          <w:color w:val="auto"/>
          <w:sz w:val="21"/>
          <w:szCs w:val="21"/>
          <w:u w:val="single"/>
        </w:rPr>
        <w:t xml:space="preserve">    16个License     </w:t>
      </w:r>
      <w:r>
        <w:rPr>
          <w:rFonts w:hint="eastAsia" w:ascii="宋体" w:hAnsi="宋体" w:eastAsia="宋体" w:cs="Times New Roman"/>
          <w:color w:val="auto"/>
          <w:sz w:val="21"/>
          <w:szCs w:val="21"/>
        </w:rPr>
        <w:t>。</w:t>
      </w:r>
      <w:r>
        <w:rPr>
          <w:rFonts w:hint="eastAsia" w:ascii="宋体" w:hAnsi="宋体" w:eastAsia="宋体" w:cs="Times New Roman"/>
          <w:color w:val="C0504D" w:themeColor="accent2"/>
          <w:sz w:val="21"/>
          <w:szCs w:val="21"/>
          <w14:textFill>
            <w14:solidFill>
              <w14:schemeClr w14:val="accent2"/>
            </w14:solidFill>
          </w14:textFill>
        </w:rPr>
        <w:t xml:space="preserve"> </w:t>
      </w:r>
    </w:p>
    <w:p>
      <w:pPr>
        <w:spacing w:line="360" w:lineRule="auto"/>
        <w:ind w:firstLine="420" w:firstLineChars="200"/>
        <w:rPr>
          <w:rFonts w:ascii="宋体" w:hAnsi="宋体" w:eastAsia="宋体" w:cs="Arial"/>
          <w:color w:val="auto"/>
          <w:sz w:val="24"/>
          <w:szCs w:val="24"/>
          <w:highlight w:val="none"/>
        </w:rPr>
      </w:pPr>
      <w:r>
        <w:rPr>
          <w:rFonts w:hint="eastAsia" w:ascii="宋体" w:hAnsi="宋体" w:eastAsia="宋体" w:cs="Arial"/>
          <w:color w:val="auto"/>
          <w:sz w:val="21"/>
          <w:szCs w:val="21"/>
          <w:highlight w:val="none"/>
        </w:rPr>
        <w:t>1.</w:t>
      </w:r>
      <w:r>
        <w:rPr>
          <w:rFonts w:hint="eastAsia" w:ascii="宋体" w:hAnsi="宋体" w:eastAsia="宋体" w:cs="Arial"/>
          <w:color w:val="auto"/>
          <w:sz w:val="21"/>
          <w:szCs w:val="21"/>
          <w:highlight w:val="none"/>
          <w:lang w:val="en-US" w:eastAsia="zh-CN"/>
        </w:rPr>
        <w:t>6</w:t>
      </w:r>
      <w:bookmarkStart w:id="9" w:name="_GoBack"/>
      <w:bookmarkEnd w:id="9"/>
      <w:r>
        <w:rPr>
          <w:rFonts w:hint="eastAsia" w:ascii="宋体" w:hAnsi="宋体" w:eastAsia="宋体" w:cs="Arial"/>
          <w:color w:val="auto"/>
          <w:sz w:val="21"/>
          <w:szCs w:val="21"/>
          <w:highlight w:val="none"/>
        </w:rPr>
        <w:t>语言版本</w:t>
      </w:r>
      <w:r>
        <w:rPr>
          <w:rFonts w:hint="eastAsia" w:ascii="宋体" w:hAnsi="宋体" w:eastAsia="宋体" w:cs="Times New Roman"/>
          <w:color w:val="auto"/>
          <w:sz w:val="21"/>
          <w:szCs w:val="21"/>
          <w:highlight w:val="none"/>
        </w:rPr>
        <w:t>：</w:t>
      </w:r>
      <w:r>
        <w:rPr>
          <w:rFonts w:hint="eastAsia" w:ascii="宋体" w:hAnsi="宋体" w:eastAsia="宋体" w:cs="Times New Roman"/>
          <w:color w:val="auto"/>
          <w:sz w:val="21"/>
          <w:szCs w:val="21"/>
          <w:highlight w:val="none"/>
          <w:u w:val="single"/>
        </w:rPr>
        <w:t xml:space="preserve">    </w:t>
      </w:r>
      <w:r>
        <w:rPr>
          <w:rFonts w:hint="eastAsia" w:ascii="宋体" w:hAnsi="宋体" w:eastAsia="宋体" w:cs="Times New Roman"/>
          <w:color w:val="auto"/>
          <w:sz w:val="21"/>
          <w:szCs w:val="21"/>
          <w:highlight w:val="none"/>
          <w:u w:val="single"/>
          <w:lang w:eastAsia="zh-CN"/>
        </w:rPr>
        <w:t>中</w:t>
      </w:r>
      <w:r>
        <w:rPr>
          <w:rFonts w:hint="eastAsia" w:ascii="宋体" w:hAnsi="宋体" w:eastAsia="宋体" w:cs="Times New Roman"/>
          <w:color w:val="auto"/>
          <w:sz w:val="21"/>
          <w:szCs w:val="21"/>
          <w:highlight w:val="none"/>
          <w:u w:val="single"/>
        </w:rPr>
        <w:t>文</w:t>
      </w:r>
      <w:r>
        <w:rPr>
          <w:rFonts w:hint="eastAsia" w:ascii="宋体" w:hAnsi="宋体" w:eastAsia="宋体" w:cs="Times New Roman"/>
          <w:color w:val="auto"/>
          <w:sz w:val="21"/>
          <w:szCs w:val="21"/>
          <w:highlight w:val="none"/>
          <w:u w:val="single"/>
          <w:lang w:val="en-US" w:eastAsia="zh-CN"/>
        </w:rPr>
        <w:t>/</w:t>
      </w:r>
      <w:r>
        <w:rPr>
          <w:rFonts w:hint="eastAsia" w:ascii="宋体" w:hAnsi="宋体" w:eastAsia="宋体" w:cs="Times New Roman"/>
          <w:color w:val="auto"/>
          <w:sz w:val="21"/>
          <w:szCs w:val="21"/>
          <w:highlight w:val="none"/>
          <w:u w:val="single"/>
        </w:rPr>
        <w:t xml:space="preserve">英文     </w:t>
      </w:r>
      <w:r>
        <w:rPr>
          <w:rFonts w:hint="eastAsia" w:ascii="宋体" w:hAnsi="宋体" w:eastAsia="宋体" w:cs="Times New Roman"/>
          <w:color w:val="auto"/>
          <w:sz w:val="21"/>
          <w:szCs w:val="21"/>
          <w:highlight w:val="none"/>
        </w:rPr>
        <w:t xml:space="preserve">。 </w:t>
      </w:r>
      <w:r>
        <w:rPr>
          <w:rFonts w:hint="eastAsia" w:ascii="宋体" w:hAnsi="宋体" w:eastAsia="宋体" w:cs="Times New Roman"/>
          <w:color w:val="auto"/>
          <w:sz w:val="24"/>
          <w:szCs w:val="24"/>
          <w:highlight w:val="none"/>
        </w:rPr>
        <w:t xml:space="preserve"> </w:t>
      </w:r>
    </w:p>
    <w:p>
      <w:pPr>
        <w:spacing w:line="360" w:lineRule="auto"/>
        <w:ind w:firstLine="482" w:firstLineChars="200"/>
        <w:rPr>
          <w:rFonts w:ascii="宋体" w:hAnsi="宋体" w:eastAsia="宋体" w:cs="Times New Roman"/>
          <w:b/>
          <w:bCs/>
          <w:color w:val="auto"/>
          <w:sz w:val="24"/>
          <w:szCs w:val="24"/>
        </w:rPr>
      </w:pPr>
      <w:r>
        <w:rPr>
          <w:rFonts w:hint="eastAsia" w:ascii="宋体" w:hAnsi="宋体" w:eastAsia="宋体" w:cs="Times New Roman"/>
          <w:b/>
          <w:bCs/>
          <w:color w:val="auto"/>
          <w:sz w:val="24"/>
          <w:szCs w:val="24"/>
        </w:rPr>
        <w:t>2.技术要求</w:t>
      </w:r>
    </w:p>
    <w:p>
      <w:pPr>
        <w:spacing w:line="360" w:lineRule="auto"/>
        <w:ind w:firstLine="420" w:firstLineChars="200"/>
        <w:jc w:val="left"/>
        <w:rPr>
          <w:rFonts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2.</w:t>
      </w:r>
      <w:r>
        <w:rPr>
          <w:rFonts w:ascii="宋体" w:hAnsi="宋体" w:eastAsia="宋体" w:cs="Times New Roman"/>
          <w:color w:val="auto"/>
          <w:sz w:val="21"/>
          <w:szCs w:val="21"/>
          <w:highlight w:val="none"/>
        </w:rPr>
        <w:t>1</w:t>
      </w:r>
      <w:r>
        <w:rPr>
          <w:rFonts w:hint="eastAsia" w:ascii="宋体" w:hAnsi="宋体" w:eastAsia="宋体" w:cs="Times New Roman"/>
          <w:color w:val="auto"/>
          <w:sz w:val="21"/>
          <w:szCs w:val="21"/>
          <w:highlight w:val="none"/>
        </w:rPr>
        <w:t>．</w:t>
      </w:r>
      <w:r>
        <w:rPr>
          <w:rFonts w:ascii="宋体" w:hAnsi="宋体" w:eastAsia="宋体" w:cs="Times New Roman"/>
          <w:color w:val="auto"/>
          <w:sz w:val="21"/>
          <w:szCs w:val="21"/>
          <w:highlight w:val="none"/>
        </w:rPr>
        <w:t>总体要求</w:t>
      </w:r>
    </w:p>
    <w:p>
      <w:pPr>
        <w:spacing w:line="360" w:lineRule="auto"/>
        <w:ind w:firstLine="420" w:firstLineChars="200"/>
        <w:jc w:val="left"/>
        <w:rPr>
          <w:rFonts w:hint="eastAsia"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*2.1.1</w:t>
      </w:r>
      <w:r>
        <w:rPr>
          <w:rFonts w:hint="eastAsia" w:ascii="宋体" w:hAnsi="宋体" w:eastAsia="宋体" w:cs="Times New Roman"/>
          <w:color w:val="auto"/>
          <w:sz w:val="21"/>
          <w:szCs w:val="21"/>
          <w:highlight w:val="none"/>
          <w:lang w:eastAsia="zh-CN"/>
        </w:rPr>
        <w:t>基于</w:t>
      </w:r>
      <w:r>
        <w:rPr>
          <w:rFonts w:hint="eastAsia" w:ascii="宋体" w:hAnsi="宋体" w:eastAsia="宋体" w:cs="Times New Roman"/>
          <w:color w:val="auto"/>
          <w:sz w:val="21"/>
          <w:szCs w:val="21"/>
          <w:highlight w:val="none"/>
          <w:lang w:val="en-US" w:eastAsia="zh-CN"/>
        </w:rPr>
        <w:t>OPC工业标准，</w:t>
      </w:r>
      <w:r>
        <w:rPr>
          <w:rFonts w:hint="eastAsia" w:ascii="宋体" w:hAnsi="宋体" w:eastAsia="宋体" w:cs="Times New Roman"/>
          <w:color w:val="auto"/>
          <w:sz w:val="21"/>
          <w:szCs w:val="21"/>
          <w:highlight w:val="none"/>
        </w:rPr>
        <w:t>充分考虑软、硬件平台的开放性和通用性，</w:t>
      </w:r>
      <w:r>
        <w:rPr>
          <w:rFonts w:hint="eastAsia" w:ascii="宋体" w:hAnsi="宋体" w:eastAsia="宋体" w:cs="Times New Roman"/>
          <w:color w:val="auto"/>
          <w:sz w:val="21"/>
          <w:szCs w:val="21"/>
          <w:highlight w:val="none"/>
          <w:lang w:eastAsia="zh-CN"/>
        </w:rPr>
        <w:t>保证数据通讯的稳定性和可靠性；</w:t>
      </w:r>
    </w:p>
    <w:p>
      <w:pPr>
        <w:spacing w:line="360" w:lineRule="auto"/>
        <w:ind w:firstLine="420" w:firstLineChars="200"/>
        <w:jc w:val="left"/>
        <w:rPr>
          <w:rFonts w:hint="eastAsia"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*2.1.</w:t>
      </w:r>
      <w:r>
        <w:rPr>
          <w:rFonts w:hint="eastAsia" w:ascii="宋体" w:hAnsi="宋体" w:eastAsia="宋体" w:cs="Times New Roman"/>
          <w:color w:val="auto"/>
          <w:sz w:val="21"/>
          <w:szCs w:val="21"/>
          <w:highlight w:val="none"/>
          <w:lang w:val="en-US" w:eastAsia="zh-CN"/>
        </w:rPr>
        <w:t>2</w:t>
      </w:r>
      <w:r>
        <w:rPr>
          <w:rFonts w:hint="eastAsia" w:ascii="宋体" w:hAnsi="宋体" w:eastAsia="宋体" w:cs="Times New Roman"/>
          <w:color w:val="auto"/>
          <w:sz w:val="21"/>
          <w:szCs w:val="21"/>
          <w:highlight w:val="none"/>
        </w:rPr>
        <w:t>投标人</w:t>
      </w:r>
      <w:r>
        <w:rPr>
          <w:rFonts w:hint="eastAsia" w:ascii="宋体" w:hAnsi="宋体" w:eastAsia="宋体" w:cs="Times New Roman"/>
          <w:color w:val="auto"/>
          <w:sz w:val="21"/>
          <w:szCs w:val="21"/>
          <w:highlight w:val="none"/>
          <w:lang w:eastAsia="zh-CN"/>
        </w:rPr>
        <w:t>至少提供</w:t>
      </w:r>
      <w:r>
        <w:rPr>
          <w:rFonts w:hint="eastAsia" w:ascii="宋体" w:hAnsi="宋体" w:eastAsia="宋体" w:cs="Times New Roman"/>
          <w:color w:val="auto"/>
          <w:sz w:val="21"/>
          <w:szCs w:val="21"/>
          <w:highlight w:val="none"/>
          <w:lang w:val="en-US" w:eastAsia="zh-CN"/>
        </w:rPr>
        <w:t>3</w:t>
      </w:r>
      <w:r>
        <w:rPr>
          <w:rFonts w:hint="eastAsia" w:ascii="宋体" w:hAnsi="宋体" w:eastAsia="宋体" w:cs="Times New Roman"/>
          <w:color w:val="auto"/>
          <w:sz w:val="21"/>
          <w:szCs w:val="21"/>
          <w:highlight w:val="none"/>
        </w:rPr>
        <w:t>年</w:t>
      </w:r>
      <w:r>
        <w:rPr>
          <w:rFonts w:hint="eastAsia" w:ascii="宋体" w:hAnsi="宋体" w:eastAsia="宋体" w:cs="Times New Roman"/>
          <w:color w:val="auto"/>
          <w:sz w:val="21"/>
          <w:szCs w:val="21"/>
          <w:highlight w:val="none"/>
          <w:lang w:eastAsia="zh-CN"/>
        </w:rPr>
        <w:t>免费</w:t>
      </w:r>
      <w:r>
        <w:rPr>
          <w:rFonts w:hint="eastAsia" w:ascii="宋体" w:hAnsi="宋体" w:eastAsia="宋体" w:cs="Times New Roman"/>
          <w:color w:val="auto"/>
          <w:sz w:val="21"/>
          <w:szCs w:val="21"/>
          <w:highlight w:val="none"/>
        </w:rPr>
        <w:t>7X24小时的</w:t>
      </w:r>
      <w:r>
        <w:rPr>
          <w:rFonts w:hint="eastAsia" w:ascii="宋体" w:hAnsi="宋体" w:eastAsia="宋体" w:cs="Times New Roman"/>
          <w:color w:val="auto"/>
          <w:sz w:val="21"/>
          <w:szCs w:val="21"/>
          <w:highlight w:val="none"/>
          <w:lang w:eastAsia="zh-CN"/>
        </w:rPr>
        <w:t>远程</w:t>
      </w:r>
      <w:r>
        <w:rPr>
          <w:rFonts w:hint="eastAsia" w:ascii="宋体" w:hAnsi="宋体" w:eastAsia="宋体" w:cs="Times New Roman"/>
          <w:color w:val="auto"/>
          <w:sz w:val="21"/>
          <w:szCs w:val="21"/>
          <w:highlight w:val="none"/>
        </w:rPr>
        <w:t>技术服务，</w:t>
      </w:r>
      <w:r>
        <w:rPr>
          <w:rFonts w:hint="eastAsia" w:ascii="宋体" w:hAnsi="宋体" w:eastAsia="宋体" w:cs="Times New Roman"/>
          <w:color w:val="auto"/>
          <w:sz w:val="21"/>
          <w:szCs w:val="21"/>
          <w:highlight w:val="none"/>
          <w:lang w:val="en-US" w:eastAsia="zh-CN"/>
        </w:rPr>
        <w:t>响应时间不超过2小时,</w:t>
      </w:r>
      <w:r>
        <w:rPr>
          <w:rFonts w:hint="eastAsia" w:ascii="宋体" w:hAnsi="宋体" w:eastAsia="宋体" w:cs="Times New Roman"/>
          <w:color w:val="auto"/>
          <w:sz w:val="21"/>
          <w:szCs w:val="21"/>
          <w:highlight w:val="none"/>
          <w:lang w:eastAsia="zh-CN"/>
        </w:rPr>
        <w:t>对于远程不可解决的问题需要提供现场服务，</w:t>
      </w:r>
      <w:r>
        <w:rPr>
          <w:rFonts w:hint="eastAsia" w:ascii="宋体" w:hAnsi="宋体" w:eastAsia="宋体" w:cs="Times New Roman"/>
          <w:color w:val="auto"/>
          <w:sz w:val="21"/>
          <w:szCs w:val="21"/>
          <w:highlight w:val="none"/>
        </w:rPr>
        <w:t>维护期自双方代表在产品终验验收单上签字之日起计算</w:t>
      </w:r>
      <w:r>
        <w:rPr>
          <w:rFonts w:hint="eastAsia" w:ascii="宋体" w:hAnsi="宋体" w:eastAsia="宋体" w:cs="Times New Roman"/>
          <w:color w:val="auto"/>
          <w:sz w:val="21"/>
          <w:szCs w:val="21"/>
          <w:highlight w:val="none"/>
          <w:lang w:eastAsia="zh-CN"/>
        </w:rPr>
        <w:t>；</w:t>
      </w:r>
    </w:p>
    <w:p>
      <w:pPr>
        <w:spacing w:line="360" w:lineRule="auto"/>
        <w:ind w:firstLine="420" w:firstLineChars="200"/>
        <w:rPr>
          <w:rFonts w:hint="eastAsia" w:ascii="宋体" w:hAnsi="宋体" w:eastAsia="宋体" w:cs="Times New Roman"/>
          <w:color w:val="auto"/>
          <w:sz w:val="21"/>
          <w:szCs w:val="21"/>
          <w:highlight w:val="none"/>
          <w:lang w:eastAsia="zh-CN"/>
        </w:rPr>
      </w:pPr>
      <w:r>
        <w:rPr>
          <w:rFonts w:hint="eastAsia" w:ascii="宋体" w:hAnsi="宋体" w:eastAsia="宋体" w:cs="Times New Roman"/>
          <w:color w:val="auto"/>
          <w:sz w:val="21"/>
          <w:szCs w:val="21"/>
          <w:highlight w:val="none"/>
        </w:rPr>
        <w:t>*2.1.</w:t>
      </w:r>
      <w:r>
        <w:rPr>
          <w:rFonts w:hint="eastAsia" w:ascii="宋体" w:hAnsi="宋体" w:eastAsia="宋体" w:cs="Times New Roman"/>
          <w:color w:val="auto"/>
          <w:sz w:val="21"/>
          <w:szCs w:val="21"/>
          <w:highlight w:val="none"/>
          <w:lang w:val="en-US" w:eastAsia="zh-CN"/>
        </w:rPr>
        <w:t>3</w:t>
      </w:r>
      <w:r>
        <w:rPr>
          <w:rFonts w:hint="eastAsia" w:ascii="宋体" w:hAnsi="宋体" w:eastAsia="宋体" w:cs="Times New Roman"/>
          <w:color w:val="auto"/>
          <w:sz w:val="21"/>
          <w:szCs w:val="21"/>
          <w:highlight w:val="none"/>
        </w:rPr>
        <w:t>需要提供</w:t>
      </w:r>
      <w:r>
        <w:rPr>
          <w:rFonts w:hint="eastAsia" w:ascii="宋体" w:hAnsi="宋体" w:eastAsia="宋体" w:cs="Times New Roman"/>
          <w:color w:val="auto"/>
          <w:sz w:val="21"/>
          <w:szCs w:val="21"/>
          <w:highlight w:val="none"/>
          <w:lang w:val="en-US" w:eastAsia="zh-CN"/>
        </w:rPr>
        <w:t>MatrikonOPC</w:t>
      </w:r>
      <w:r>
        <w:rPr>
          <w:rFonts w:hint="eastAsia" w:ascii="宋体" w:hAnsi="宋体" w:eastAsia="宋体" w:cs="Times New Roman"/>
          <w:color w:val="auto"/>
          <w:sz w:val="21"/>
          <w:szCs w:val="21"/>
          <w:highlight w:val="none"/>
        </w:rPr>
        <w:t>原厂商授权</w:t>
      </w:r>
      <w:r>
        <w:rPr>
          <w:rFonts w:hint="eastAsia" w:ascii="宋体" w:hAnsi="宋体" w:eastAsia="宋体" w:cs="Times New Roman"/>
          <w:color w:val="auto"/>
          <w:sz w:val="21"/>
          <w:szCs w:val="21"/>
          <w:highlight w:val="none"/>
          <w:lang w:eastAsia="zh-CN"/>
        </w:rPr>
        <w:t>；</w:t>
      </w:r>
    </w:p>
    <w:p>
      <w:pPr>
        <w:spacing w:line="360" w:lineRule="auto"/>
        <w:ind w:firstLine="420" w:firstLineChars="200"/>
        <w:rPr>
          <w:rFonts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*2.1.</w:t>
      </w:r>
      <w:r>
        <w:rPr>
          <w:rFonts w:hint="eastAsia" w:ascii="宋体" w:hAnsi="宋体" w:eastAsia="宋体" w:cs="Times New Roman"/>
          <w:color w:val="auto"/>
          <w:sz w:val="21"/>
          <w:szCs w:val="21"/>
          <w:highlight w:val="none"/>
          <w:lang w:val="en-US" w:eastAsia="zh-CN"/>
        </w:rPr>
        <w:t>4</w:t>
      </w:r>
      <w:r>
        <w:rPr>
          <w:rFonts w:ascii="宋体" w:hAnsi="宋体" w:eastAsia="宋体" w:cs="Times New Roman"/>
          <w:color w:val="auto"/>
          <w:sz w:val="21"/>
          <w:szCs w:val="21"/>
          <w:highlight w:val="none"/>
        </w:rPr>
        <w:t>设备质保</w:t>
      </w:r>
      <w:r>
        <w:rPr>
          <w:rFonts w:hint="eastAsia" w:ascii="宋体" w:hAnsi="宋体" w:eastAsia="宋体" w:cs="Times New Roman"/>
          <w:color w:val="auto"/>
          <w:sz w:val="21"/>
          <w:szCs w:val="21"/>
          <w:highlight w:val="none"/>
        </w:rPr>
        <w:t>由投标方提供，</w:t>
      </w:r>
      <w:r>
        <w:rPr>
          <w:rFonts w:ascii="宋体" w:hAnsi="宋体" w:eastAsia="宋体" w:cs="Times New Roman"/>
          <w:color w:val="auto"/>
          <w:sz w:val="21"/>
          <w:szCs w:val="21"/>
          <w:highlight w:val="none"/>
        </w:rPr>
        <w:t>补丁更新服务由原厂商提供；</w:t>
      </w:r>
    </w:p>
    <w:p>
      <w:pPr>
        <w:spacing w:line="360" w:lineRule="auto"/>
        <w:ind w:firstLine="420" w:firstLineChars="200"/>
        <w:rPr>
          <w:rFonts w:ascii="宋体" w:hAnsi="宋体" w:eastAsia="宋体" w:cs="Times New Roman"/>
          <w:color w:val="auto"/>
          <w:sz w:val="21"/>
          <w:szCs w:val="21"/>
        </w:rPr>
      </w:pPr>
      <w:r>
        <w:rPr>
          <w:rFonts w:hint="eastAsia" w:ascii="宋体" w:hAnsi="宋体" w:eastAsia="宋体" w:cs="Times New Roman"/>
          <w:color w:val="auto"/>
          <w:sz w:val="21"/>
          <w:szCs w:val="21"/>
        </w:rPr>
        <w:t>*2.1.</w:t>
      </w:r>
      <w:r>
        <w:rPr>
          <w:rFonts w:hint="eastAsia" w:ascii="宋体" w:hAnsi="宋体" w:eastAsia="宋体" w:cs="Times New Roman"/>
          <w:color w:val="auto"/>
          <w:sz w:val="21"/>
          <w:szCs w:val="21"/>
          <w:lang w:val="en-US" w:eastAsia="zh-CN"/>
        </w:rPr>
        <w:t>5</w:t>
      </w:r>
      <w:r>
        <w:rPr>
          <w:rFonts w:hint="eastAsia" w:ascii="宋体" w:hAnsi="宋体" w:eastAsia="宋体" w:cs="Times New Roman"/>
          <w:color w:val="auto"/>
          <w:sz w:val="21"/>
          <w:szCs w:val="21"/>
        </w:rPr>
        <w:t>根据甲方要求进行软件系统安装部署和管理配置</w:t>
      </w:r>
      <w:r>
        <w:rPr>
          <w:rFonts w:hint="eastAsia" w:ascii="宋体" w:hAnsi="宋体" w:eastAsia="宋体" w:cs="Times New Roman"/>
          <w:color w:val="auto"/>
          <w:sz w:val="21"/>
          <w:szCs w:val="21"/>
          <w:lang w:eastAsia="zh-CN"/>
        </w:rPr>
        <w:t>；</w:t>
      </w:r>
    </w:p>
    <w:p>
      <w:pPr>
        <w:spacing w:line="360" w:lineRule="auto"/>
        <w:ind w:firstLine="420" w:firstLineChars="200"/>
        <w:rPr>
          <w:rFonts w:ascii="宋体" w:hAnsi="宋体" w:eastAsia="宋体" w:cs="Times New Roman"/>
          <w:color w:val="auto"/>
          <w:sz w:val="21"/>
          <w:szCs w:val="21"/>
        </w:rPr>
      </w:pPr>
      <w:r>
        <w:rPr>
          <w:rFonts w:hint="eastAsia" w:ascii="宋体" w:hAnsi="宋体" w:eastAsia="宋体" w:cs="Times New Roman"/>
          <w:color w:val="auto"/>
          <w:sz w:val="21"/>
          <w:szCs w:val="21"/>
        </w:rPr>
        <w:t>*2.1.</w:t>
      </w:r>
      <w:r>
        <w:rPr>
          <w:rFonts w:hint="eastAsia" w:ascii="宋体" w:hAnsi="宋体" w:eastAsia="宋体" w:cs="Times New Roman"/>
          <w:color w:val="auto"/>
          <w:sz w:val="21"/>
          <w:szCs w:val="21"/>
          <w:lang w:val="en-US" w:eastAsia="zh-CN"/>
        </w:rPr>
        <w:t>6</w:t>
      </w:r>
      <w:r>
        <w:rPr>
          <w:rFonts w:ascii="宋体" w:hAnsi="宋体" w:eastAsia="宋体" w:cs="Times New Roman"/>
          <w:color w:val="auto"/>
          <w:sz w:val="21"/>
          <w:szCs w:val="21"/>
        </w:rPr>
        <w:t>提供系统迁移和调整过程中与系统相关的支持服务；</w:t>
      </w:r>
    </w:p>
    <w:p>
      <w:pPr>
        <w:spacing w:line="360" w:lineRule="auto"/>
        <w:ind w:firstLine="420" w:firstLineChars="200"/>
        <w:rPr>
          <w:rFonts w:hint="eastAsia" w:ascii="宋体" w:hAnsi="宋体" w:eastAsia="宋体" w:cs="Times New Roman"/>
          <w:color w:val="auto"/>
          <w:sz w:val="21"/>
          <w:szCs w:val="21"/>
          <w:lang w:val="en-US" w:eastAsia="zh-CN"/>
        </w:rPr>
      </w:pPr>
      <w:r>
        <w:rPr>
          <w:rFonts w:hint="eastAsia" w:ascii="宋体" w:hAnsi="宋体" w:eastAsia="宋体" w:cs="Times New Roman"/>
          <w:color w:val="auto"/>
          <w:sz w:val="21"/>
          <w:szCs w:val="21"/>
        </w:rPr>
        <w:t>*2.1.</w:t>
      </w:r>
      <w:r>
        <w:rPr>
          <w:rFonts w:hint="eastAsia" w:ascii="宋体" w:hAnsi="宋体" w:eastAsia="宋体" w:cs="Times New Roman"/>
          <w:color w:val="auto"/>
          <w:sz w:val="21"/>
          <w:szCs w:val="21"/>
          <w:lang w:val="en-US" w:eastAsia="zh-CN"/>
        </w:rPr>
        <w:t>7</w:t>
      </w:r>
      <w:r>
        <w:rPr>
          <w:rFonts w:ascii="宋体" w:hAnsi="宋体" w:eastAsia="宋体" w:cs="Times New Roman"/>
          <w:color w:val="auto"/>
          <w:sz w:val="21"/>
          <w:szCs w:val="21"/>
        </w:rPr>
        <w:t>提供日常系统管理方面的</w:t>
      </w:r>
      <w:r>
        <w:rPr>
          <w:rFonts w:hint="eastAsia" w:ascii="宋体" w:hAnsi="宋体" w:eastAsia="宋体" w:cs="Times New Roman"/>
          <w:color w:val="auto"/>
          <w:sz w:val="21"/>
          <w:szCs w:val="21"/>
          <w:lang w:eastAsia="zh-CN"/>
        </w:rPr>
        <w:t>远程技术支持</w:t>
      </w:r>
      <w:r>
        <w:rPr>
          <w:rFonts w:ascii="宋体" w:hAnsi="宋体" w:eastAsia="宋体" w:cs="Times New Roman"/>
          <w:color w:val="auto"/>
          <w:sz w:val="21"/>
          <w:szCs w:val="21"/>
        </w:rPr>
        <w:t>，对于</w:t>
      </w:r>
      <w:r>
        <w:rPr>
          <w:rFonts w:hint="eastAsia" w:ascii="宋体" w:hAnsi="宋体" w:eastAsia="宋体" w:cs="Times New Roman"/>
          <w:color w:val="auto"/>
          <w:sz w:val="21"/>
          <w:szCs w:val="21"/>
          <w:lang w:eastAsia="zh-CN"/>
        </w:rPr>
        <w:t>远程</w:t>
      </w:r>
      <w:r>
        <w:rPr>
          <w:rFonts w:ascii="宋体" w:hAnsi="宋体" w:eastAsia="宋体" w:cs="Times New Roman"/>
          <w:color w:val="auto"/>
          <w:sz w:val="21"/>
          <w:szCs w:val="21"/>
        </w:rPr>
        <w:t>无法解决的问题，</w:t>
      </w:r>
      <w:r>
        <w:rPr>
          <w:rFonts w:hint="eastAsia" w:ascii="宋体" w:hAnsi="宋体" w:eastAsia="宋体" w:cs="Times New Roman"/>
          <w:color w:val="auto"/>
          <w:sz w:val="21"/>
          <w:szCs w:val="21"/>
          <w:lang w:eastAsia="zh-CN"/>
        </w:rPr>
        <w:t>中标方</w:t>
      </w:r>
      <w:r>
        <w:rPr>
          <w:rFonts w:ascii="宋体" w:hAnsi="宋体" w:eastAsia="宋体" w:cs="Times New Roman"/>
          <w:color w:val="auto"/>
          <w:sz w:val="21"/>
          <w:szCs w:val="21"/>
        </w:rPr>
        <w:t>应</w:t>
      </w:r>
      <w:r>
        <w:rPr>
          <w:rFonts w:hint="eastAsia" w:ascii="宋体" w:hAnsi="宋体" w:eastAsia="宋体" w:cs="Times New Roman"/>
          <w:color w:val="auto"/>
          <w:sz w:val="21"/>
          <w:szCs w:val="21"/>
          <w:lang w:eastAsia="zh-CN"/>
        </w:rPr>
        <w:t>在</w:t>
      </w:r>
      <w:r>
        <w:rPr>
          <w:rFonts w:hint="eastAsia" w:ascii="宋体" w:hAnsi="宋体" w:eastAsia="宋体" w:cs="Times New Roman"/>
          <w:color w:val="auto"/>
          <w:sz w:val="21"/>
          <w:szCs w:val="21"/>
          <w:lang w:val="en-US" w:eastAsia="zh-CN"/>
        </w:rPr>
        <w:t>24小时内到现场解决；</w:t>
      </w:r>
    </w:p>
    <w:p>
      <w:pPr>
        <w:spacing w:line="360" w:lineRule="auto"/>
        <w:ind w:firstLine="420" w:firstLineChars="200"/>
        <w:rPr>
          <w:rFonts w:hint="eastAsia" w:ascii="宋体" w:hAnsi="宋体" w:eastAsia="宋体" w:cs="Times New Roman"/>
          <w:color w:val="auto"/>
          <w:sz w:val="21"/>
          <w:szCs w:val="21"/>
        </w:rPr>
      </w:pPr>
      <w:r>
        <w:rPr>
          <w:rFonts w:hint="eastAsia" w:ascii="宋体" w:hAnsi="宋体" w:eastAsia="宋体" w:cs="Times New Roman"/>
          <w:color w:val="auto"/>
          <w:sz w:val="21"/>
          <w:szCs w:val="21"/>
        </w:rPr>
        <w:t>*2.1</w:t>
      </w:r>
      <w:r>
        <w:rPr>
          <w:rFonts w:hint="eastAsia" w:ascii="宋体" w:hAnsi="宋体" w:eastAsia="宋体" w:cs="Times New Roman"/>
          <w:color w:val="auto"/>
          <w:sz w:val="21"/>
          <w:szCs w:val="21"/>
          <w:lang w:val="en-US" w:eastAsia="zh-CN"/>
        </w:rPr>
        <w:t>.8</w:t>
      </w:r>
      <w:r>
        <w:rPr>
          <w:rFonts w:ascii="宋体" w:hAnsi="宋体" w:eastAsia="宋体" w:cs="Times New Roman"/>
          <w:color w:val="auto"/>
          <w:sz w:val="21"/>
          <w:szCs w:val="21"/>
        </w:rPr>
        <w:t>提供与产品相关软件补丁、设备驱动等升级提醒、实施服务</w:t>
      </w:r>
      <w:r>
        <w:rPr>
          <w:rFonts w:hint="eastAsia" w:ascii="宋体" w:hAnsi="宋体" w:eastAsia="宋体" w:cs="Times New Roman"/>
          <w:color w:val="auto"/>
          <w:sz w:val="21"/>
          <w:szCs w:val="21"/>
          <w:lang w:eastAsia="zh-CN"/>
        </w:rPr>
        <w:t>，并</w:t>
      </w:r>
      <w:r>
        <w:rPr>
          <w:rFonts w:ascii="宋体" w:hAnsi="宋体" w:eastAsia="宋体" w:cs="Times New Roman"/>
          <w:color w:val="auto"/>
          <w:sz w:val="21"/>
          <w:szCs w:val="21"/>
        </w:rPr>
        <w:t>保证：（1）软件升级完全符合</w:t>
      </w:r>
      <w:r>
        <w:rPr>
          <w:rFonts w:hint="eastAsia" w:ascii="宋体" w:hAnsi="宋体" w:eastAsia="宋体" w:cs="Times New Roman"/>
          <w:color w:val="auto"/>
          <w:sz w:val="21"/>
          <w:szCs w:val="21"/>
        </w:rPr>
        <w:t>OPC基金会对OPC软件的</w:t>
      </w:r>
      <w:r>
        <w:rPr>
          <w:rFonts w:ascii="宋体" w:hAnsi="宋体" w:eastAsia="宋体" w:cs="Times New Roman"/>
          <w:color w:val="auto"/>
          <w:sz w:val="21"/>
          <w:szCs w:val="21"/>
        </w:rPr>
        <w:t>规范要求；（2）对软件升级提供正确安装、正常运转和保养服务；（3）软件升级程序安装完毕后正式使用前应由招标人进行验收，如验收时发现该软件功能存在瑕疵，或不符合招标人实际需求，应按照原被保设备维保要求进行无偿予以更换，如因此导致招标人损失的，应负责赔偿；（4）对由于软件升级的缺陷而发生的招标人系统或设备故障的，负责赔偿招标人由此导致的损失</w:t>
      </w:r>
      <w:r>
        <w:rPr>
          <w:rFonts w:hint="eastAsia" w:ascii="宋体" w:hAnsi="宋体" w:eastAsia="宋体" w:cs="Times New Roman"/>
          <w:color w:val="auto"/>
          <w:sz w:val="21"/>
          <w:szCs w:val="21"/>
          <w:lang w:eastAsia="zh-CN"/>
        </w:rPr>
        <w:t>。</w:t>
      </w:r>
    </w:p>
    <w:p>
      <w:pPr>
        <w:spacing w:line="360" w:lineRule="auto"/>
        <w:ind w:firstLine="420" w:firstLineChars="200"/>
        <w:rPr>
          <w:rFonts w:ascii="宋体" w:hAnsi="宋体" w:eastAsia="宋体" w:cs="Times New Roman"/>
          <w:color w:val="auto"/>
          <w:sz w:val="21"/>
          <w:szCs w:val="21"/>
        </w:rPr>
      </w:pPr>
      <w:r>
        <w:rPr>
          <w:rFonts w:hint="eastAsia" w:ascii="宋体" w:hAnsi="宋体" w:eastAsia="宋体" w:cs="Times New Roman"/>
          <w:color w:val="auto"/>
          <w:sz w:val="21"/>
          <w:szCs w:val="21"/>
        </w:rPr>
        <w:t>2.2. 开放性，成熟性要求</w:t>
      </w:r>
    </w:p>
    <w:p>
      <w:pPr>
        <w:spacing w:line="360" w:lineRule="auto"/>
        <w:ind w:firstLine="420" w:firstLineChars="200"/>
        <w:jc w:val="left"/>
        <w:rPr>
          <w:rFonts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*2.2.1</w:t>
      </w:r>
      <w:r>
        <w:rPr>
          <w:rFonts w:hint="eastAsia" w:ascii="宋体" w:hAnsi="宋体" w:eastAsia="宋体" w:cs="Times New Roman"/>
          <w:color w:val="auto"/>
          <w:sz w:val="21"/>
          <w:szCs w:val="21"/>
          <w:highlight w:val="none"/>
          <w:lang w:eastAsia="zh-CN"/>
        </w:rPr>
        <w:t>所采购软件</w:t>
      </w:r>
      <w:r>
        <w:rPr>
          <w:rFonts w:hint="eastAsia" w:ascii="宋体" w:hAnsi="宋体" w:eastAsia="宋体" w:cs="Times New Roman"/>
          <w:color w:val="auto"/>
          <w:sz w:val="21"/>
          <w:szCs w:val="21"/>
          <w:highlight w:val="none"/>
        </w:rPr>
        <w:t>必须</w:t>
      </w:r>
      <w:r>
        <w:rPr>
          <w:rFonts w:hint="eastAsia" w:ascii="宋体" w:hAnsi="宋体" w:eastAsia="宋体" w:cs="Times New Roman"/>
          <w:color w:val="auto"/>
          <w:sz w:val="21"/>
          <w:szCs w:val="21"/>
          <w:highlight w:val="none"/>
          <w:lang w:eastAsia="zh-CN"/>
        </w:rPr>
        <w:t>基于</w:t>
      </w:r>
      <w:r>
        <w:rPr>
          <w:rFonts w:hint="eastAsia" w:ascii="宋体" w:hAnsi="宋体" w:eastAsia="宋体" w:cs="Times New Roman"/>
          <w:color w:val="auto"/>
          <w:sz w:val="21"/>
          <w:szCs w:val="21"/>
          <w:highlight w:val="none"/>
        </w:rPr>
        <w:t>Classic OPC</w:t>
      </w:r>
      <w:r>
        <w:rPr>
          <w:rFonts w:hint="eastAsia" w:ascii="宋体" w:hAnsi="宋体" w:eastAsia="宋体" w:cs="Times New Roman"/>
          <w:color w:val="auto"/>
          <w:sz w:val="21"/>
          <w:szCs w:val="21"/>
          <w:highlight w:val="none"/>
          <w:lang w:eastAsia="zh-CN"/>
        </w:rPr>
        <w:t>协议</w:t>
      </w:r>
      <w:r>
        <w:rPr>
          <w:rFonts w:hint="eastAsia" w:ascii="宋体" w:hAnsi="宋体" w:eastAsia="宋体" w:cs="Times New Roman"/>
          <w:color w:val="auto"/>
          <w:sz w:val="21"/>
          <w:szCs w:val="21"/>
          <w:highlight w:val="none"/>
        </w:rPr>
        <w:t>，并符合神东OPC技术</w:t>
      </w:r>
      <w:r>
        <w:rPr>
          <w:rFonts w:hint="eastAsia" w:ascii="宋体" w:hAnsi="宋体" w:eastAsia="宋体" w:cs="Times New Roman"/>
          <w:color w:val="auto"/>
          <w:sz w:val="21"/>
          <w:szCs w:val="21"/>
          <w:highlight w:val="none"/>
          <w:lang w:eastAsia="zh-CN"/>
        </w:rPr>
        <w:t>管理</w:t>
      </w:r>
      <w:r>
        <w:rPr>
          <w:rFonts w:hint="eastAsia" w:ascii="宋体" w:hAnsi="宋体" w:eastAsia="宋体" w:cs="Times New Roman"/>
          <w:color w:val="auto"/>
          <w:sz w:val="21"/>
          <w:szCs w:val="21"/>
          <w:highlight w:val="none"/>
        </w:rPr>
        <w:t>要求；</w:t>
      </w:r>
    </w:p>
    <w:p>
      <w:pPr>
        <w:spacing w:line="360" w:lineRule="auto"/>
        <w:ind w:firstLine="420" w:firstLineChars="200"/>
        <w:jc w:val="left"/>
        <w:rPr>
          <w:rFonts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*2.2.2支持OPC技术规范：Modbus Server需支持DA3.0规范，OPC UA Proxy需支持DA3.0规范和UA规范，Tunneller需支持DA2.05a规范，Client for ODBC需支持DA3.0规范；</w:t>
      </w:r>
    </w:p>
    <w:p>
      <w:pPr>
        <w:spacing w:line="360" w:lineRule="auto"/>
        <w:ind w:firstLine="420" w:firstLineChars="200"/>
        <w:rPr>
          <w:rFonts w:hint="eastAsia" w:ascii="宋体" w:hAnsi="宋体" w:eastAsia="宋体" w:cs="Times New Roman"/>
          <w:color w:val="auto"/>
          <w:sz w:val="21"/>
          <w:szCs w:val="21"/>
          <w:highlight w:val="yellow"/>
          <w:lang w:eastAsia="zh-CN"/>
        </w:rPr>
      </w:pPr>
      <w:r>
        <w:rPr>
          <w:rFonts w:hint="eastAsia" w:ascii="宋体" w:hAnsi="宋体" w:eastAsia="宋体" w:cs="Times New Roman"/>
          <w:color w:val="auto"/>
          <w:sz w:val="21"/>
          <w:szCs w:val="21"/>
        </w:rPr>
        <w:t>*2.2.</w:t>
      </w:r>
      <w:r>
        <w:rPr>
          <w:rFonts w:hint="eastAsia" w:ascii="宋体" w:hAnsi="宋体" w:eastAsia="宋体" w:cs="Times New Roman"/>
          <w:color w:val="auto"/>
          <w:sz w:val="21"/>
          <w:szCs w:val="21"/>
          <w:lang w:val="en-US" w:eastAsia="zh-CN"/>
        </w:rPr>
        <w:t>3</w:t>
      </w:r>
      <w:r>
        <w:rPr>
          <w:rFonts w:hint="eastAsia" w:ascii="宋体" w:hAnsi="宋体" w:eastAsia="宋体" w:cs="Times New Roman"/>
          <w:color w:val="auto"/>
          <w:sz w:val="21"/>
          <w:szCs w:val="21"/>
        </w:rPr>
        <w:t>实现设备的数据采集。如Modbus Server能够成功采集任何标准Modbus协议的设备的数据，</w:t>
      </w:r>
      <w:r>
        <w:rPr>
          <w:rFonts w:hint="eastAsia" w:ascii="宋体" w:hAnsi="宋体" w:eastAsia="宋体" w:cs="Times New Roman"/>
          <w:color w:val="auto"/>
          <w:sz w:val="21"/>
          <w:szCs w:val="21"/>
          <w:lang w:eastAsia="zh-CN"/>
        </w:rPr>
        <w:t>Universal</w:t>
      </w:r>
      <w:r>
        <w:rPr>
          <w:rFonts w:hint="eastAsia" w:ascii="宋体" w:hAnsi="宋体" w:eastAsia="宋体" w:cs="Times New Roman"/>
          <w:color w:val="auto"/>
          <w:sz w:val="21"/>
          <w:szCs w:val="21"/>
          <w:lang w:val="en-US" w:eastAsia="zh-CN"/>
        </w:rPr>
        <w:t xml:space="preserve"> </w:t>
      </w:r>
      <w:r>
        <w:rPr>
          <w:rFonts w:hint="eastAsia" w:ascii="宋体" w:hAnsi="宋体" w:eastAsia="宋体" w:cs="Times New Roman"/>
          <w:color w:val="auto"/>
          <w:sz w:val="21"/>
          <w:szCs w:val="21"/>
        </w:rPr>
        <w:t>OPC Server能够</w:t>
      </w:r>
      <w:r>
        <w:rPr>
          <w:rFonts w:hint="eastAsia" w:ascii="宋体" w:hAnsi="宋体" w:eastAsia="宋体" w:cs="Times New Roman"/>
          <w:color w:val="auto"/>
          <w:sz w:val="21"/>
          <w:szCs w:val="21"/>
          <w:highlight w:val="none"/>
        </w:rPr>
        <w:t>采集的数据</w:t>
      </w:r>
      <w:r>
        <w:rPr>
          <w:rFonts w:hint="eastAsia" w:ascii="宋体" w:hAnsi="宋体" w:eastAsia="宋体" w:cs="Times New Roman"/>
          <w:color w:val="auto"/>
          <w:sz w:val="21"/>
          <w:szCs w:val="21"/>
          <w:highlight w:val="none"/>
          <w:lang w:eastAsia="zh-CN"/>
        </w:rPr>
        <w:t>至少包含：Modbus、</w:t>
      </w:r>
      <w:r>
        <w:rPr>
          <w:rFonts w:hint="eastAsia" w:ascii="宋体" w:hAnsi="宋体" w:eastAsia="宋体" w:cs="Times New Roman"/>
          <w:color w:val="auto"/>
          <w:sz w:val="21"/>
          <w:szCs w:val="21"/>
          <w:highlight w:val="none"/>
        </w:rPr>
        <w:t>Siemens</w:t>
      </w:r>
      <w:r>
        <w:rPr>
          <w:rFonts w:hint="eastAsia" w:ascii="宋体" w:hAnsi="宋体" w:eastAsia="宋体" w:cs="Times New Roman"/>
          <w:color w:val="auto"/>
          <w:sz w:val="21"/>
          <w:szCs w:val="21"/>
          <w:highlight w:val="none"/>
          <w:lang w:val="en-US" w:eastAsia="zh-CN"/>
        </w:rPr>
        <w:t xml:space="preserve"> </w:t>
      </w:r>
      <w:r>
        <w:rPr>
          <w:rFonts w:hint="eastAsia" w:ascii="宋体" w:hAnsi="宋体" w:eastAsia="宋体" w:cs="Times New Roman"/>
          <w:color w:val="auto"/>
          <w:sz w:val="21"/>
          <w:szCs w:val="21"/>
          <w:highlight w:val="none"/>
        </w:rPr>
        <w:t>PLC、OMRON PLC</w:t>
      </w:r>
      <w:r>
        <w:rPr>
          <w:rFonts w:hint="eastAsia" w:ascii="宋体" w:hAnsi="宋体" w:eastAsia="宋体" w:cs="Times New Roman"/>
          <w:color w:val="auto"/>
          <w:sz w:val="21"/>
          <w:szCs w:val="21"/>
          <w:highlight w:val="none"/>
          <w:lang w:eastAsia="zh-CN"/>
        </w:rPr>
        <w:t>、</w:t>
      </w:r>
      <w:r>
        <w:rPr>
          <w:rFonts w:hint="eastAsia" w:ascii="宋体" w:hAnsi="宋体" w:eastAsia="宋体" w:cs="Times New Roman"/>
          <w:color w:val="auto"/>
          <w:sz w:val="21"/>
          <w:szCs w:val="21"/>
          <w:highlight w:val="none"/>
          <w:lang w:val="en-US" w:eastAsia="zh-CN"/>
        </w:rPr>
        <w:t>Rockwell PLC、Mitsubishi PLC、GE PLC</w:t>
      </w:r>
      <w:r>
        <w:rPr>
          <w:rFonts w:hint="eastAsia" w:ascii="宋体" w:hAnsi="宋体" w:eastAsia="宋体" w:cs="Times New Roman"/>
          <w:color w:val="auto"/>
          <w:sz w:val="21"/>
          <w:szCs w:val="21"/>
          <w:highlight w:val="none"/>
        </w:rPr>
        <w:t>等</w:t>
      </w:r>
      <w:r>
        <w:rPr>
          <w:rFonts w:hint="eastAsia" w:ascii="宋体" w:hAnsi="宋体" w:eastAsia="宋体" w:cs="Times New Roman"/>
          <w:color w:val="auto"/>
          <w:sz w:val="21"/>
          <w:szCs w:val="21"/>
          <w:highlight w:val="none"/>
          <w:lang w:eastAsia="zh-CN"/>
        </w:rPr>
        <w:t>；</w:t>
      </w:r>
    </w:p>
    <w:p>
      <w:pPr>
        <w:spacing w:line="360" w:lineRule="auto"/>
        <w:ind w:firstLine="420" w:firstLineChars="200"/>
        <w:rPr>
          <w:rFonts w:ascii="宋体" w:hAnsi="宋体"/>
          <w:color w:val="auto"/>
          <w:spacing w:val="2"/>
          <w:kern w:val="0"/>
          <w:sz w:val="21"/>
          <w:szCs w:val="21"/>
          <w:highlight w:val="yellow"/>
        </w:rPr>
      </w:pPr>
      <w:r>
        <w:rPr>
          <w:rFonts w:hint="eastAsia" w:ascii="宋体" w:hAnsi="宋体" w:eastAsia="宋体" w:cs="Times New Roman"/>
          <w:color w:val="auto"/>
          <w:sz w:val="21"/>
          <w:szCs w:val="21"/>
        </w:rPr>
        <w:t>*2.2.</w:t>
      </w:r>
      <w:r>
        <w:rPr>
          <w:rFonts w:hint="eastAsia" w:ascii="宋体" w:hAnsi="宋体" w:eastAsia="宋体" w:cs="Times New Roman"/>
          <w:color w:val="auto"/>
          <w:sz w:val="21"/>
          <w:szCs w:val="21"/>
          <w:lang w:val="en-US" w:eastAsia="zh-CN"/>
        </w:rPr>
        <w:t>4</w:t>
      </w:r>
      <w:r>
        <w:rPr>
          <w:rFonts w:hint="eastAsia" w:ascii="宋体" w:hAnsi="宋体" w:eastAsia="宋体" w:cs="Times New Roman"/>
          <w:color w:val="auto"/>
          <w:sz w:val="21"/>
          <w:szCs w:val="21"/>
        </w:rPr>
        <w:t xml:space="preserve"> 要求Tunneller能够</w:t>
      </w:r>
      <w:r>
        <w:rPr>
          <w:rFonts w:hint="eastAsia" w:ascii="宋体" w:hAnsi="宋体" w:eastAsia="宋体" w:cs="Times New Roman"/>
          <w:color w:val="auto"/>
          <w:sz w:val="21"/>
          <w:szCs w:val="21"/>
          <w:lang w:eastAsia="zh-CN"/>
        </w:rPr>
        <w:t>取代</w:t>
      </w:r>
      <w:r>
        <w:rPr>
          <w:rFonts w:hint="eastAsia" w:ascii="宋体" w:hAnsi="宋体" w:eastAsia="宋体" w:cs="Times New Roman"/>
          <w:color w:val="auto"/>
          <w:sz w:val="21"/>
          <w:szCs w:val="21"/>
        </w:rPr>
        <w:t>基于Windows组件的COM/DCOM通信方式，提高通讯稳定性、可靠性</w:t>
      </w:r>
      <w:r>
        <w:rPr>
          <w:rFonts w:hint="eastAsia" w:ascii="宋体" w:hAnsi="宋体" w:eastAsia="宋体" w:cs="Times New Roman"/>
          <w:color w:val="auto"/>
          <w:sz w:val="21"/>
          <w:szCs w:val="21"/>
          <w:lang w:eastAsia="zh-CN"/>
        </w:rPr>
        <w:t>；</w:t>
      </w:r>
    </w:p>
    <w:p>
      <w:pPr>
        <w:spacing w:line="360" w:lineRule="auto"/>
        <w:ind w:firstLine="420" w:firstLineChars="200"/>
        <w:rPr>
          <w:rFonts w:ascii="宋体" w:hAnsi="宋体"/>
          <w:color w:val="auto"/>
          <w:spacing w:val="2"/>
          <w:kern w:val="0"/>
          <w:sz w:val="21"/>
          <w:szCs w:val="21"/>
        </w:rPr>
      </w:pPr>
      <w:r>
        <w:rPr>
          <w:rFonts w:hint="eastAsia" w:ascii="宋体" w:hAnsi="宋体" w:eastAsia="宋体" w:cs="Times New Roman"/>
          <w:color w:val="auto"/>
          <w:sz w:val="21"/>
          <w:szCs w:val="21"/>
        </w:rPr>
        <w:t>*2.2.</w:t>
      </w:r>
      <w:r>
        <w:rPr>
          <w:rFonts w:hint="eastAsia" w:ascii="宋体" w:hAnsi="宋体" w:eastAsia="宋体" w:cs="Times New Roman"/>
          <w:color w:val="auto"/>
          <w:sz w:val="21"/>
          <w:szCs w:val="21"/>
          <w:lang w:val="en-US" w:eastAsia="zh-CN"/>
        </w:rPr>
        <w:t>5</w:t>
      </w:r>
      <w:r>
        <w:rPr>
          <w:rFonts w:hint="eastAsia" w:ascii="宋体" w:hAnsi="宋体" w:eastAsia="宋体" w:cs="Times New Roman"/>
          <w:color w:val="auto"/>
          <w:sz w:val="21"/>
          <w:szCs w:val="21"/>
        </w:rPr>
        <w:t xml:space="preserve"> </w:t>
      </w:r>
      <w:r>
        <w:rPr>
          <w:rFonts w:hint="eastAsia" w:ascii="宋体" w:hAnsi="宋体"/>
          <w:color w:val="auto"/>
          <w:spacing w:val="2"/>
          <w:kern w:val="0"/>
          <w:sz w:val="21"/>
          <w:szCs w:val="21"/>
        </w:rPr>
        <w:t>预留OPC UA升级接口。OPC UA Proxy要支持OPC UA到Classic OPC协议的转换</w:t>
      </w:r>
      <w:r>
        <w:rPr>
          <w:rFonts w:hint="eastAsia" w:ascii="宋体" w:hAnsi="宋体"/>
          <w:color w:val="auto"/>
          <w:spacing w:val="2"/>
          <w:kern w:val="0"/>
          <w:sz w:val="21"/>
          <w:szCs w:val="21"/>
          <w:lang w:eastAsia="zh-CN"/>
        </w:rPr>
        <w:t>；</w:t>
      </w:r>
    </w:p>
    <w:p>
      <w:pPr>
        <w:spacing w:line="360" w:lineRule="auto"/>
        <w:ind w:firstLine="420" w:firstLineChars="200"/>
        <w:rPr>
          <w:rFonts w:hint="eastAsia" w:ascii="宋体" w:hAnsi="宋体" w:eastAsia="宋体" w:cs="Times New Roman"/>
          <w:color w:val="auto"/>
          <w:sz w:val="21"/>
          <w:szCs w:val="21"/>
          <w:lang w:eastAsia="zh-CN"/>
        </w:rPr>
      </w:pPr>
      <w:r>
        <w:rPr>
          <w:rFonts w:hint="eastAsia" w:ascii="宋体" w:hAnsi="宋体" w:eastAsia="宋体" w:cs="Times New Roman"/>
          <w:color w:val="auto"/>
          <w:sz w:val="21"/>
          <w:szCs w:val="21"/>
        </w:rPr>
        <w:t>*2.2.</w:t>
      </w:r>
      <w:r>
        <w:rPr>
          <w:rFonts w:hint="eastAsia" w:ascii="宋体" w:hAnsi="宋体" w:eastAsia="宋体" w:cs="Times New Roman"/>
          <w:color w:val="auto"/>
          <w:sz w:val="21"/>
          <w:szCs w:val="21"/>
          <w:lang w:val="en-US" w:eastAsia="zh-CN"/>
        </w:rPr>
        <w:t>6</w:t>
      </w:r>
      <w:r>
        <w:rPr>
          <w:rFonts w:hint="eastAsia" w:ascii="宋体" w:hAnsi="宋体" w:eastAsia="宋体" w:cs="Times New Roman"/>
          <w:color w:val="auto"/>
          <w:sz w:val="21"/>
          <w:szCs w:val="21"/>
        </w:rPr>
        <w:t xml:space="preserve"> OPC Client for ODBC应支持所有的ODBC数据库，包括SQL、Mysql、Access、Oracle等，并拥有自定义ODBC数据查询功能。</w:t>
      </w:r>
    </w:p>
    <w:p>
      <w:pPr>
        <w:spacing w:line="360" w:lineRule="auto"/>
        <w:ind w:firstLine="420" w:firstLineChars="200"/>
        <w:rPr>
          <w:rFonts w:ascii="宋体" w:hAnsi="宋体" w:eastAsia="宋体" w:cs="Times New Roman"/>
          <w:color w:val="auto"/>
          <w:sz w:val="21"/>
          <w:szCs w:val="21"/>
        </w:rPr>
      </w:pPr>
      <w:r>
        <w:rPr>
          <w:rFonts w:hint="eastAsia" w:ascii="宋体" w:hAnsi="宋体" w:eastAsia="宋体" w:cs="Times New Roman"/>
          <w:color w:val="auto"/>
          <w:sz w:val="21"/>
          <w:szCs w:val="21"/>
        </w:rPr>
        <w:t>2.3.海量数据处理和高性能要求</w:t>
      </w:r>
    </w:p>
    <w:p>
      <w:pPr>
        <w:spacing w:line="360" w:lineRule="auto"/>
        <w:ind w:firstLine="420" w:firstLineChars="200"/>
        <w:rPr>
          <w:rFonts w:ascii="宋体" w:hAnsi="宋体" w:eastAsia="宋体" w:cs="Times New Roman"/>
          <w:color w:val="auto"/>
          <w:sz w:val="21"/>
          <w:szCs w:val="21"/>
          <w:highlight w:val="none"/>
        </w:rPr>
      </w:pPr>
      <w:r>
        <w:rPr>
          <w:rFonts w:hint="eastAsia" w:ascii="宋体" w:hAnsi="宋体" w:eastAsia="宋体" w:cs="Times New Roman"/>
          <w:color w:val="auto"/>
          <w:sz w:val="21"/>
          <w:szCs w:val="21"/>
        </w:rPr>
        <w:t>*2.3.1</w:t>
      </w:r>
      <w:r>
        <w:rPr>
          <w:rFonts w:hint="eastAsia" w:ascii="宋体" w:hAnsi="宋体" w:eastAsia="宋体" w:cs="Times New Roman"/>
          <w:color w:val="auto"/>
          <w:sz w:val="21"/>
          <w:szCs w:val="21"/>
          <w:lang w:val="en-US" w:eastAsia="zh-CN"/>
        </w:rPr>
        <w:t xml:space="preserve"> </w:t>
      </w:r>
      <w:r>
        <w:rPr>
          <w:rFonts w:hint="eastAsia" w:ascii="宋体" w:hAnsi="宋体" w:eastAsia="宋体" w:cs="Times New Roman"/>
          <w:color w:val="auto"/>
          <w:sz w:val="21"/>
          <w:szCs w:val="21"/>
        </w:rPr>
        <w:t>Modbus Server要求支持</w:t>
      </w:r>
      <w:r>
        <w:rPr>
          <w:rFonts w:hint="eastAsia" w:ascii="宋体" w:hAnsi="宋体" w:eastAsia="宋体" w:cs="Times New Roman"/>
          <w:color w:val="auto"/>
          <w:sz w:val="21"/>
          <w:szCs w:val="21"/>
          <w:lang w:eastAsia="zh-CN"/>
        </w:rPr>
        <w:t>神东现有网络、通讯</w:t>
      </w:r>
      <w:r>
        <w:rPr>
          <w:rFonts w:hint="eastAsia" w:ascii="宋体" w:hAnsi="宋体" w:eastAsia="宋体" w:cs="Times New Roman"/>
          <w:color w:val="auto"/>
          <w:sz w:val="21"/>
          <w:szCs w:val="21"/>
        </w:rPr>
        <w:t>设备</w:t>
      </w:r>
      <w:r>
        <w:rPr>
          <w:rFonts w:hint="eastAsia" w:ascii="宋体" w:hAnsi="宋体" w:eastAsia="宋体" w:cs="Times New Roman"/>
          <w:color w:val="auto"/>
          <w:sz w:val="21"/>
          <w:szCs w:val="21"/>
          <w:lang w:eastAsia="zh-CN"/>
        </w:rPr>
        <w:t>；</w:t>
      </w:r>
      <w:r>
        <w:rPr>
          <w:rFonts w:ascii="宋体" w:hAnsi="宋体" w:eastAsia="宋体" w:cs="Times New Roman"/>
          <w:color w:val="auto"/>
          <w:sz w:val="21"/>
          <w:szCs w:val="21"/>
          <w:highlight w:val="none"/>
        </w:rPr>
        <w:t xml:space="preserve"> </w:t>
      </w:r>
    </w:p>
    <w:p>
      <w:pPr>
        <w:spacing w:line="360" w:lineRule="auto"/>
        <w:ind w:firstLine="420" w:firstLineChars="200"/>
        <w:rPr>
          <w:rFonts w:ascii="宋体" w:hAnsi="宋体" w:eastAsia="宋体" w:cs="Times New Roman"/>
          <w:color w:val="auto"/>
          <w:sz w:val="21"/>
          <w:szCs w:val="21"/>
        </w:rPr>
      </w:pPr>
      <w:r>
        <w:rPr>
          <w:rFonts w:hint="eastAsia" w:ascii="宋体" w:hAnsi="宋体" w:eastAsia="宋体" w:cs="Times New Roman"/>
          <w:color w:val="auto"/>
          <w:sz w:val="21"/>
          <w:szCs w:val="21"/>
          <w:highlight w:val="none"/>
        </w:rPr>
        <w:t>*2.3.2软件要求维护简单方便，所有OPC软件应可随时修改配置，而无需重启电脑；</w:t>
      </w:r>
    </w:p>
    <w:p>
      <w:pPr>
        <w:spacing w:line="360" w:lineRule="auto"/>
        <w:ind w:firstLine="420" w:firstLineChars="200"/>
        <w:rPr>
          <w:rFonts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*2.3.3 Modbus Server及</w:t>
      </w:r>
      <w:r>
        <w:rPr>
          <w:rFonts w:hint="eastAsia" w:ascii="宋体" w:hAnsi="宋体" w:eastAsia="宋体" w:cs="Times New Roman"/>
          <w:color w:val="auto"/>
          <w:sz w:val="21"/>
          <w:szCs w:val="21"/>
          <w:highlight w:val="none"/>
          <w:lang w:eastAsia="zh-CN"/>
        </w:rPr>
        <w:t>Universal</w:t>
      </w:r>
      <w:r>
        <w:rPr>
          <w:rFonts w:hint="eastAsia" w:ascii="宋体" w:hAnsi="宋体" w:eastAsia="宋体" w:cs="Times New Roman"/>
          <w:color w:val="auto"/>
          <w:sz w:val="21"/>
          <w:szCs w:val="21"/>
          <w:highlight w:val="none"/>
          <w:lang w:val="en-US" w:eastAsia="zh-CN"/>
        </w:rPr>
        <w:t xml:space="preserve"> </w:t>
      </w:r>
      <w:r>
        <w:rPr>
          <w:rFonts w:hint="eastAsia" w:ascii="宋体" w:hAnsi="宋体" w:eastAsia="宋体" w:cs="Times New Roman"/>
          <w:color w:val="auto"/>
          <w:sz w:val="21"/>
          <w:szCs w:val="21"/>
          <w:highlight w:val="none"/>
        </w:rPr>
        <w:t>OPC Server要求支持离线功能</w:t>
      </w:r>
      <w:r>
        <w:rPr>
          <w:rFonts w:hint="eastAsia" w:ascii="宋体" w:hAnsi="宋体" w:eastAsia="宋体" w:cs="Times New Roman"/>
          <w:color w:val="auto"/>
          <w:sz w:val="21"/>
          <w:szCs w:val="21"/>
          <w:highlight w:val="none"/>
          <w:lang w:eastAsia="zh-CN"/>
        </w:rPr>
        <w:t>；</w:t>
      </w:r>
    </w:p>
    <w:p>
      <w:pPr>
        <w:spacing w:line="360" w:lineRule="auto"/>
        <w:ind w:firstLine="420" w:firstLineChars="200"/>
        <w:rPr>
          <w:rFonts w:ascii="宋体" w:hAnsi="宋体" w:eastAsia="宋体" w:cs="Times New Roman"/>
          <w:strike w:val="0"/>
          <w:dstrike w:val="0"/>
          <w:color w:val="auto"/>
          <w:sz w:val="21"/>
          <w:szCs w:val="21"/>
        </w:rPr>
      </w:pPr>
      <w:r>
        <w:rPr>
          <w:rFonts w:hint="eastAsia" w:ascii="宋体" w:hAnsi="宋体" w:eastAsia="宋体" w:cs="Times New Roman"/>
          <w:color w:val="auto"/>
          <w:sz w:val="21"/>
          <w:szCs w:val="21"/>
        </w:rPr>
        <w:t>*2.3.4所有OPC软件应经过OPC基金会认证的兼容性和经过测试的互操作性</w:t>
      </w:r>
      <w:r>
        <w:rPr>
          <w:rFonts w:hint="eastAsia" w:ascii="宋体" w:hAnsi="宋体" w:eastAsia="宋体" w:cs="Times New Roman"/>
          <w:color w:val="auto"/>
          <w:sz w:val="21"/>
          <w:szCs w:val="21"/>
          <w:lang w:eastAsia="zh-CN"/>
        </w:rPr>
        <w:t>；</w:t>
      </w:r>
    </w:p>
    <w:p>
      <w:pPr>
        <w:spacing w:line="360" w:lineRule="auto"/>
        <w:ind w:firstLine="420" w:firstLineChars="200"/>
        <w:rPr>
          <w:rFonts w:hint="eastAsia" w:ascii="宋体" w:hAnsi="宋体" w:eastAsia="宋体" w:cs="Times New Roman"/>
          <w:strike w:val="0"/>
          <w:dstrike w:val="0"/>
          <w:color w:val="FF0000"/>
          <w:sz w:val="21"/>
          <w:szCs w:val="21"/>
          <w:lang w:eastAsia="zh-CN"/>
        </w:rPr>
      </w:pPr>
      <w:r>
        <w:rPr>
          <w:rFonts w:hint="eastAsia" w:ascii="宋体" w:hAnsi="宋体" w:eastAsia="宋体" w:cs="Times New Roman"/>
          <w:strike w:val="0"/>
          <w:dstrike w:val="0"/>
          <w:color w:val="auto"/>
          <w:sz w:val="21"/>
          <w:szCs w:val="21"/>
        </w:rPr>
        <w:t>*2.3.5所有OPC软件对</w:t>
      </w:r>
      <w:r>
        <w:rPr>
          <w:rFonts w:hint="eastAsia" w:ascii="宋体" w:hAnsi="宋体" w:eastAsia="宋体" w:cs="Times New Roman"/>
          <w:strike w:val="0"/>
          <w:dstrike w:val="0"/>
          <w:color w:val="auto"/>
          <w:sz w:val="21"/>
          <w:szCs w:val="21"/>
          <w:lang w:eastAsia="zh-CN"/>
        </w:rPr>
        <w:t>百万条数据的处理能力达</w:t>
      </w:r>
      <w:r>
        <w:rPr>
          <w:rFonts w:hint="eastAsia" w:ascii="宋体" w:hAnsi="宋体" w:eastAsia="宋体" w:cs="Times New Roman"/>
          <w:strike w:val="0"/>
          <w:dstrike w:val="0"/>
          <w:color w:val="auto"/>
          <w:sz w:val="21"/>
          <w:szCs w:val="21"/>
        </w:rPr>
        <w:t>到毫秒级</w:t>
      </w:r>
      <w:r>
        <w:rPr>
          <w:rFonts w:hint="eastAsia" w:ascii="宋体" w:hAnsi="宋体" w:eastAsia="宋体" w:cs="Times New Roman"/>
          <w:strike w:val="0"/>
          <w:dstrike w:val="0"/>
          <w:color w:val="auto"/>
          <w:sz w:val="21"/>
          <w:szCs w:val="21"/>
          <w:lang w:eastAsia="zh-CN"/>
        </w:rPr>
        <w:t>。</w:t>
      </w:r>
    </w:p>
    <w:p>
      <w:pPr>
        <w:spacing w:line="360" w:lineRule="auto"/>
        <w:ind w:firstLine="420" w:firstLineChars="200"/>
        <w:rPr>
          <w:rFonts w:hint="eastAsia" w:ascii="宋体" w:hAnsi="宋体" w:eastAsia="宋体" w:cs="Times New Roman"/>
          <w:strike/>
          <w:dstrike w:val="0"/>
          <w:color w:val="FF0000"/>
          <w:sz w:val="21"/>
          <w:szCs w:val="21"/>
          <w:highlight w:val="none"/>
          <w:lang w:eastAsia="zh-CN"/>
        </w:rPr>
      </w:pPr>
      <w:r>
        <w:rPr>
          <w:rFonts w:hint="eastAsia" w:ascii="宋体" w:hAnsi="宋体" w:eastAsia="宋体" w:cs="Times New Roman"/>
          <w:strike w:val="0"/>
          <w:dstrike w:val="0"/>
          <w:color w:val="auto"/>
          <w:sz w:val="21"/>
          <w:szCs w:val="21"/>
          <w:highlight w:val="none"/>
        </w:rPr>
        <w:t>*2.</w:t>
      </w:r>
      <w:r>
        <w:rPr>
          <w:rFonts w:hint="eastAsia" w:ascii="宋体" w:hAnsi="宋体" w:eastAsia="宋体" w:cs="Times New Roman"/>
          <w:strike w:val="0"/>
          <w:dstrike w:val="0"/>
          <w:color w:val="auto"/>
          <w:sz w:val="21"/>
          <w:szCs w:val="21"/>
          <w:highlight w:val="none"/>
          <w:lang w:val="en-US" w:eastAsia="zh-CN"/>
        </w:rPr>
        <w:t>3</w:t>
      </w:r>
      <w:r>
        <w:rPr>
          <w:rFonts w:hint="eastAsia" w:ascii="宋体" w:hAnsi="宋体" w:eastAsia="宋体" w:cs="Times New Roman"/>
          <w:strike w:val="0"/>
          <w:dstrike w:val="0"/>
          <w:color w:val="auto"/>
          <w:sz w:val="21"/>
          <w:szCs w:val="21"/>
          <w:highlight w:val="none"/>
        </w:rPr>
        <w:t>.</w:t>
      </w:r>
      <w:r>
        <w:rPr>
          <w:rFonts w:hint="eastAsia" w:ascii="宋体" w:hAnsi="宋体" w:eastAsia="宋体" w:cs="Times New Roman"/>
          <w:strike w:val="0"/>
          <w:dstrike w:val="0"/>
          <w:color w:val="auto"/>
          <w:sz w:val="21"/>
          <w:szCs w:val="21"/>
          <w:highlight w:val="none"/>
          <w:lang w:val="en-US" w:eastAsia="zh-CN"/>
        </w:rPr>
        <w:t>6</w:t>
      </w:r>
      <w:r>
        <w:rPr>
          <w:rFonts w:hint="eastAsia" w:ascii="宋体" w:hAnsi="宋体" w:eastAsia="宋体" w:cs="Times New Roman"/>
          <w:strike w:val="0"/>
          <w:dstrike w:val="0"/>
          <w:color w:val="auto"/>
          <w:sz w:val="21"/>
          <w:szCs w:val="21"/>
          <w:highlight w:val="none"/>
        </w:rPr>
        <w:t xml:space="preserve"> OPC Client for ODBC</w:t>
      </w:r>
      <w:r>
        <w:rPr>
          <w:rFonts w:hint="eastAsia" w:ascii="宋体" w:hAnsi="宋体" w:eastAsia="宋体" w:cs="Times New Roman"/>
          <w:strike w:val="0"/>
          <w:dstrike w:val="0"/>
          <w:color w:val="auto"/>
          <w:sz w:val="21"/>
          <w:szCs w:val="21"/>
          <w:highlight w:val="none"/>
          <w:lang w:eastAsia="zh-CN"/>
        </w:rPr>
        <w:t>支持同时读取</w:t>
      </w:r>
      <w:r>
        <w:rPr>
          <w:rFonts w:hint="eastAsia" w:ascii="宋体" w:hAnsi="宋体" w:eastAsia="宋体" w:cs="Times New Roman"/>
          <w:strike w:val="0"/>
          <w:dstrike w:val="0"/>
          <w:color w:val="auto"/>
          <w:sz w:val="21"/>
          <w:szCs w:val="21"/>
          <w:highlight w:val="none"/>
          <w:lang w:val="en-US" w:eastAsia="zh-CN"/>
        </w:rPr>
        <w:t>的OPC Server</w:t>
      </w:r>
      <w:r>
        <w:rPr>
          <w:rFonts w:hint="eastAsia" w:ascii="宋体" w:hAnsi="宋体" w:eastAsia="宋体" w:cs="Times New Roman"/>
          <w:color w:val="auto"/>
          <w:sz w:val="21"/>
          <w:szCs w:val="21"/>
          <w:highlight w:val="none"/>
          <w:lang w:val="en-US" w:eastAsia="zh-CN"/>
        </w:rPr>
        <w:t>数量不少于30台、测点数量不少于50000条，存储周期为2秒到120秒可自定义调整。</w:t>
      </w:r>
    </w:p>
    <w:p>
      <w:pPr>
        <w:spacing w:line="360" w:lineRule="auto"/>
        <w:ind w:firstLine="420" w:firstLineChars="200"/>
        <w:rPr>
          <w:rFonts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2.4.可靠性和高可用性要求</w:t>
      </w:r>
    </w:p>
    <w:p>
      <w:pPr>
        <w:spacing w:line="360" w:lineRule="auto"/>
        <w:ind w:firstLine="420" w:firstLineChars="200"/>
        <w:rPr>
          <w:rFonts w:ascii="宋体" w:hAnsi="宋体" w:eastAsia="宋体" w:cs="Times New Roman"/>
          <w:color w:val="auto"/>
          <w:sz w:val="21"/>
          <w:szCs w:val="21"/>
        </w:rPr>
      </w:pPr>
      <w:r>
        <w:rPr>
          <w:rFonts w:hint="eastAsia" w:ascii="宋体" w:hAnsi="宋体" w:eastAsia="宋体" w:cs="Times New Roman"/>
          <w:color w:val="auto"/>
          <w:sz w:val="21"/>
          <w:szCs w:val="21"/>
        </w:rPr>
        <w:t>*2.4.1应不限制</w:t>
      </w:r>
      <w:r>
        <w:rPr>
          <w:rFonts w:hint="eastAsia" w:ascii="宋体" w:hAnsi="宋体" w:eastAsia="宋体" w:cs="Times New Roman"/>
          <w:color w:val="auto"/>
          <w:sz w:val="21"/>
          <w:szCs w:val="21"/>
          <w:lang w:val="en-US" w:eastAsia="zh-CN"/>
        </w:rPr>
        <w:t>OPC</w:t>
      </w:r>
      <w:r>
        <w:rPr>
          <w:rFonts w:hint="eastAsia" w:ascii="宋体" w:hAnsi="宋体" w:eastAsia="宋体" w:cs="Times New Roman"/>
          <w:color w:val="auto"/>
          <w:sz w:val="21"/>
          <w:szCs w:val="21"/>
        </w:rPr>
        <w:t>客户端的访问数量，Modbus Server和</w:t>
      </w:r>
      <w:r>
        <w:rPr>
          <w:rFonts w:hint="eastAsia" w:ascii="宋体" w:hAnsi="宋体" w:cs="宋体"/>
          <w:color w:val="auto"/>
          <w:kern w:val="0"/>
          <w:sz w:val="21"/>
          <w:szCs w:val="21"/>
          <w:highlight w:val="none"/>
          <w:lang w:eastAsia="zh-CN" w:bidi="ar"/>
        </w:rPr>
        <w:t>Universal</w:t>
      </w:r>
      <w:r>
        <w:rPr>
          <w:rFonts w:hint="eastAsia" w:ascii="宋体" w:hAnsi="宋体" w:cs="宋体"/>
          <w:color w:val="auto"/>
          <w:kern w:val="0"/>
          <w:sz w:val="21"/>
          <w:szCs w:val="21"/>
          <w:highlight w:val="none"/>
          <w:lang w:val="en-US" w:eastAsia="zh-CN" w:bidi="ar"/>
        </w:rPr>
        <w:t xml:space="preserve"> </w:t>
      </w:r>
      <w:r>
        <w:rPr>
          <w:rFonts w:hint="eastAsia" w:ascii="宋体" w:hAnsi="宋体" w:cs="宋体"/>
          <w:color w:val="auto"/>
          <w:kern w:val="0"/>
          <w:sz w:val="21"/>
          <w:szCs w:val="21"/>
          <w:highlight w:val="none"/>
          <w:lang w:bidi="ar"/>
        </w:rPr>
        <w:t>OPC Server</w:t>
      </w:r>
      <w:r>
        <w:rPr>
          <w:rFonts w:hint="eastAsia" w:ascii="宋体" w:hAnsi="宋体" w:eastAsia="宋体" w:cs="Times New Roman"/>
          <w:color w:val="auto"/>
          <w:sz w:val="21"/>
          <w:szCs w:val="21"/>
        </w:rPr>
        <w:t>对客户端访问数量无要求；</w:t>
      </w:r>
    </w:p>
    <w:p>
      <w:pPr>
        <w:spacing w:line="360" w:lineRule="auto"/>
        <w:ind w:firstLine="420" w:firstLineChars="200"/>
        <w:rPr>
          <w:rFonts w:hint="eastAsia" w:ascii="宋体" w:hAnsi="宋体" w:eastAsia="宋体" w:cs="Times New Roman"/>
          <w:color w:val="auto"/>
          <w:sz w:val="21"/>
          <w:szCs w:val="21"/>
        </w:rPr>
      </w:pPr>
      <w:r>
        <w:rPr>
          <w:rFonts w:hint="eastAsia" w:ascii="宋体" w:hAnsi="宋体" w:eastAsia="宋体" w:cs="Times New Roman"/>
          <w:color w:val="auto"/>
          <w:sz w:val="21"/>
          <w:szCs w:val="21"/>
        </w:rPr>
        <w:t>*2.4.2 可连接到任何的OPC服务器。OPC Client for ODBC可把任何的OPC服务器的数据写到关系</w:t>
      </w:r>
      <w:r>
        <w:rPr>
          <w:rFonts w:hint="eastAsia" w:ascii="宋体" w:hAnsi="宋体" w:eastAsia="宋体" w:cs="Times New Roman"/>
          <w:color w:val="auto"/>
          <w:sz w:val="21"/>
          <w:szCs w:val="21"/>
          <w:lang w:eastAsia="zh-CN"/>
        </w:rPr>
        <w:t>型</w:t>
      </w:r>
      <w:r>
        <w:rPr>
          <w:rFonts w:hint="eastAsia" w:ascii="宋体" w:hAnsi="宋体" w:eastAsia="宋体" w:cs="Times New Roman"/>
          <w:color w:val="auto"/>
          <w:sz w:val="21"/>
          <w:szCs w:val="21"/>
        </w:rPr>
        <w:t>数据库</w:t>
      </w:r>
      <w:r>
        <w:rPr>
          <w:rFonts w:hint="eastAsia" w:ascii="宋体" w:hAnsi="宋体" w:eastAsia="宋体" w:cs="Times New Roman"/>
          <w:color w:val="auto"/>
          <w:sz w:val="21"/>
          <w:szCs w:val="21"/>
          <w:lang w:eastAsia="zh-CN"/>
        </w:rPr>
        <w:t>；</w:t>
      </w:r>
    </w:p>
    <w:p>
      <w:pPr>
        <w:spacing w:line="360" w:lineRule="auto"/>
        <w:ind w:firstLine="420" w:firstLineChars="200"/>
        <w:rPr>
          <w:rFonts w:hint="eastAsia" w:ascii="宋体" w:hAnsi="宋体" w:eastAsia="宋体" w:cs="Times New Roman"/>
          <w:color w:val="auto"/>
          <w:sz w:val="21"/>
          <w:szCs w:val="21"/>
        </w:rPr>
      </w:pPr>
      <w:r>
        <w:rPr>
          <w:rFonts w:hint="eastAsia" w:ascii="宋体" w:hAnsi="宋体" w:eastAsia="宋体" w:cs="Times New Roman"/>
          <w:color w:val="auto"/>
          <w:sz w:val="21"/>
          <w:szCs w:val="21"/>
        </w:rPr>
        <w:t xml:space="preserve">*2.4.3 </w:t>
      </w:r>
      <w:r>
        <w:rPr>
          <w:rFonts w:hint="eastAsia" w:ascii="宋体" w:hAnsi="宋体" w:eastAsia="宋体" w:cs="Times New Roman"/>
          <w:sz w:val="21"/>
          <w:szCs w:val="21"/>
        </w:rPr>
        <w:t>要求OPC Tunneller</w:t>
      </w:r>
      <w:r>
        <w:rPr>
          <w:rFonts w:ascii="宋体" w:hAnsi="宋体" w:eastAsia="宋体" w:cs="Times New Roman"/>
          <w:sz w:val="21"/>
          <w:szCs w:val="21"/>
        </w:rPr>
        <w:t>能够</w:t>
      </w:r>
      <w:r>
        <w:rPr>
          <w:rFonts w:hint="eastAsia" w:ascii="宋体" w:hAnsi="宋体" w:eastAsia="宋体" w:cs="Times New Roman"/>
          <w:sz w:val="21"/>
          <w:szCs w:val="21"/>
        </w:rPr>
        <w:t>实现</w:t>
      </w:r>
      <w:r>
        <w:rPr>
          <w:rFonts w:ascii="宋体" w:hAnsi="宋体" w:eastAsia="宋体" w:cs="Times New Roman"/>
          <w:sz w:val="21"/>
          <w:szCs w:val="21"/>
        </w:rPr>
        <w:t>不同供应商的</w:t>
      </w:r>
      <w:r>
        <w:rPr>
          <w:rFonts w:hint="eastAsia" w:ascii="宋体" w:hAnsi="宋体" w:eastAsia="宋体" w:cs="Times New Roman"/>
          <w:sz w:val="21"/>
          <w:szCs w:val="21"/>
        </w:rPr>
        <w:t>标准</w:t>
      </w:r>
      <w:r>
        <w:rPr>
          <w:rFonts w:ascii="宋体" w:hAnsi="宋体" w:eastAsia="宋体" w:cs="Times New Roman"/>
          <w:sz w:val="21"/>
          <w:szCs w:val="21"/>
        </w:rPr>
        <w:t>OPC 服务器</w:t>
      </w:r>
      <w:r>
        <w:rPr>
          <w:rFonts w:hint="eastAsia" w:ascii="宋体" w:hAnsi="宋体" w:eastAsia="宋体" w:cs="Times New Roman"/>
          <w:sz w:val="21"/>
          <w:szCs w:val="21"/>
        </w:rPr>
        <w:t>与OPC</w:t>
      </w:r>
      <w:r>
        <w:rPr>
          <w:rFonts w:ascii="宋体" w:hAnsi="宋体" w:eastAsia="宋体" w:cs="Times New Roman"/>
          <w:sz w:val="21"/>
          <w:szCs w:val="21"/>
        </w:rPr>
        <w:t>客户端通讯</w:t>
      </w:r>
      <w:r>
        <w:rPr>
          <w:rFonts w:hint="eastAsia" w:ascii="宋体" w:hAnsi="宋体" w:eastAsia="宋体" w:cs="Times New Roman"/>
          <w:sz w:val="21"/>
          <w:szCs w:val="21"/>
        </w:rPr>
        <w:t>，并只使用一个通讯端口</w:t>
      </w:r>
      <w:r>
        <w:rPr>
          <w:rFonts w:hint="eastAsia" w:ascii="宋体" w:hAnsi="宋体" w:eastAsia="宋体" w:cs="Times New Roman"/>
          <w:color w:val="auto"/>
          <w:sz w:val="21"/>
          <w:szCs w:val="21"/>
          <w:lang w:eastAsia="zh-CN"/>
        </w:rPr>
        <w:t>。</w:t>
      </w:r>
    </w:p>
    <w:p>
      <w:pPr>
        <w:spacing w:line="360" w:lineRule="auto"/>
        <w:ind w:firstLine="420" w:firstLineChars="200"/>
        <w:rPr>
          <w:rFonts w:ascii="宋体" w:hAnsi="宋体" w:eastAsia="宋体" w:cs="Times New Roman"/>
          <w:color w:val="auto"/>
          <w:sz w:val="21"/>
          <w:szCs w:val="21"/>
        </w:rPr>
      </w:pPr>
      <w:r>
        <w:rPr>
          <w:rFonts w:hint="eastAsia" w:ascii="宋体" w:hAnsi="宋体" w:eastAsia="宋体" w:cs="Times New Roman"/>
          <w:color w:val="auto"/>
          <w:sz w:val="21"/>
          <w:szCs w:val="21"/>
        </w:rPr>
        <w:t xml:space="preserve"> 2.5.可扩展性要求</w:t>
      </w:r>
    </w:p>
    <w:p>
      <w:pPr>
        <w:spacing w:line="360" w:lineRule="auto"/>
        <w:ind w:firstLine="420" w:firstLineChars="200"/>
        <w:rPr>
          <w:rFonts w:hint="eastAsia"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*2.5.1与供货商无关</w:t>
      </w:r>
      <w:r>
        <w:rPr>
          <w:rFonts w:hint="eastAsia" w:ascii="宋体" w:hAnsi="宋体" w:eastAsia="宋体" w:cs="Times New Roman"/>
          <w:sz w:val="21"/>
          <w:szCs w:val="21"/>
          <w:highlight w:val="none"/>
        </w:rPr>
        <w:t>：任何供货商的标准OPC软件或者硬件均可与投标方提供的OPC服务器成功进行数据通讯</w:t>
      </w:r>
      <w:r>
        <w:rPr>
          <w:rFonts w:hint="eastAsia" w:ascii="宋体" w:hAnsi="宋体" w:eastAsia="宋体" w:cs="Times New Roman"/>
          <w:color w:val="auto"/>
          <w:sz w:val="21"/>
          <w:szCs w:val="21"/>
          <w:highlight w:val="none"/>
        </w:rPr>
        <w:t>。</w:t>
      </w:r>
    </w:p>
    <w:p>
      <w:pPr>
        <w:spacing w:line="360" w:lineRule="auto"/>
        <w:ind w:firstLine="420" w:firstLineChars="200"/>
        <w:rPr>
          <w:rFonts w:hint="eastAsia" w:ascii="宋体" w:hAnsi="宋体" w:eastAsia="宋体" w:cs="Times New Roman"/>
          <w:color w:val="auto"/>
          <w:sz w:val="21"/>
          <w:szCs w:val="21"/>
        </w:rPr>
      </w:pPr>
      <w:r>
        <w:rPr>
          <w:rFonts w:hint="eastAsia" w:ascii="宋体" w:hAnsi="宋体" w:eastAsia="宋体" w:cs="Times New Roman"/>
          <w:color w:val="auto"/>
          <w:sz w:val="21"/>
          <w:szCs w:val="21"/>
        </w:rPr>
        <w:t>*2.</w:t>
      </w:r>
      <w:r>
        <w:rPr>
          <w:rFonts w:hint="eastAsia" w:ascii="宋体" w:hAnsi="宋体" w:eastAsia="宋体" w:cs="Times New Roman"/>
          <w:color w:val="auto"/>
          <w:sz w:val="21"/>
          <w:szCs w:val="21"/>
          <w:lang w:val="en-US" w:eastAsia="zh-CN"/>
        </w:rPr>
        <w:t>5</w:t>
      </w:r>
      <w:r>
        <w:rPr>
          <w:rFonts w:hint="eastAsia" w:ascii="宋体" w:hAnsi="宋体" w:eastAsia="宋体" w:cs="Times New Roman"/>
          <w:color w:val="auto"/>
          <w:sz w:val="21"/>
          <w:szCs w:val="21"/>
        </w:rPr>
        <w:t>.</w:t>
      </w:r>
      <w:r>
        <w:rPr>
          <w:rFonts w:hint="eastAsia" w:ascii="宋体" w:hAnsi="宋体" w:eastAsia="宋体" w:cs="Times New Roman"/>
          <w:color w:val="auto"/>
          <w:sz w:val="21"/>
          <w:szCs w:val="21"/>
          <w:lang w:val="en-US" w:eastAsia="zh-CN"/>
        </w:rPr>
        <w:t>2</w:t>
      </w:r>
      <w:r>
        <w:rPr>
          <w:rFonts w:hint="eastAsia" w:ascii="宋体" w:hAnsi="宋体" w:eastAsia="宋体" w:cs="Times New Roman"/>
          <w:sz w:val="21"/>
          <w:szCs w:val="21"/>
        </w:rPr>
        <w:t>提供数据采集的标准的OPC接口：投标方提供的软件为标准OPC接口</w:t>
      </w:r>
      <w:r>
        <w:rPr>
          <w:rFonts w:hint="eastAsia" w:ascii="宋体" w:hAnsi="宋体" w:eastAsia="宋体" w:cs="Times New Roman"/>
          <w:sz w:val="21"/>
          <w:szCs w:val="21"/>
          <w:lang w:eastAsia="zh-CN"/>
        </w:rPr>
        <w:t>，</w:t>
      </w:r>
      <w:r>
        <w:rPr>
          <w:rFonts w:hint="eastAsia" w:ascii="宋体" w:hAnsi="宋体" w:eastAsia="宋体" w:cs="Times New Roman"/>
          <w:sz w:val="21"/>
          <w:szCs w:val="21"/>
        </w:rPr>
        <w:t>任何厂家的任何应用程序只要支持标准的OPC规范均可读写Modbus Server和</w:t>
      </w:r>
      <w:r>
        <w:rPr>
          <w:rFonts w:hint="eastAsia" w:ascii="宋体" w:hAnsi="宋体" w:cs="宋体"/>
          <w:kern w:val="0"/>
          <w:sz w:val="21"/>
          <w:szCs w:val="21"/>
          <w:lang w:bidi="ar"/>
        </w:rPr>
        <w:t>Universal OPC Server</w:t>
      </w:r>
      <w:r>
        <w:rPr>
          <w:rFonts w:hint="eastAsia" w:ascii="宋体" w:hAnsi="宋体" w:eastAsia="宋体" w:cs="Times New Roman"/>
          <w:sz w:val="21"/>
          <w:szCs w:val="21"/>
        </w:rPr>
        <w:t>的数据</w:t>
      </w:r>
      <w:r>
        <w:rPr>
          <w:rFonts w:hint="eastAsia" w:ascii="宋体" w:hAnsi="宋体" w:eastAsia="宋体" w:cs="Times New Roman"/>
          <w:color w:val="auto"/>
          <w:sz w:val="21"/>
          <w:szCs w:val="21"/>
        </w:rPr>
        <w:t>。</w:t>
      </w:r>
    </w:p>
    <w:p>
      <w:pPr>
        <w:spacing w:line="360" w:lineRule="auto"/>
        <w:ind w:firstLine="420" w:firstLineChars="200"/>
        <w:rPr>
          <w:rFonts w:ascii="宋体" w:hAnsi="宋体" w:eastAsia="宋体" w:cs="Times New Roman"/>
          <w:color w:val="auto"/>
          <w:sz w:val="21"/>
          <w:szCs w:val="21"/>
        </w:rPr>
      </w:pPr>
      <w:r>
        <w:rPr>
          <w:rFonts w:hint="eastAsia" w:ascii="宋体" w:hAnsi="宋体" w:eastAsia="宋体" w:cs="Times New Roman"/>
          <w:color w:val="auto"/>
          <w:sz w:val="21"/>
          <w:szCs w:val="21"/>
        </w:rPr>
        <w:t>2.6．管理性要求</w:t>
      </w:r>
    </w:p>
    <w:p>
      <w:pPr>
        <w:spacing w:line="360" w:lineRule="auto"/>
        <w:ind w:firstLine="420" w:firstLineChars="200"/>
        <w:rPr>
          <w:rFonts w:ascii="宋体" w:hAnsi="宋体" w:eastAsia="宋体" w:cs="Times New Roman"/>
          <w:color w:val="auto"/>
          <w:sz w:val="21"/>
          <w:szCs w:val="21"/>
        </w:rPr>
      </w:pPr>
      <w:r>
        <w:rPr>
          <w:rFonts w:hint="eastAsia" w:ascii="宋体" w:hAnsi="宋体" w:eastAsia="宋体" w:cs="Times New Roman"/>
          <w:color w:val="auto"/>
          <w:sz w:val="21"/>
          <w:szCs w:val="21"/>
        </w:rPr>
        <w:t>*2.6.1要求</w:t>
      </w:r>
      <w:r>
        <w:rPr>
          <w:rFonts w:hint="eastAsia" w:ascii="宋体" w:hAnsi="宋体" w:eastAsia="宋体" w:cs="Times New Roman"/>
          <w:sz w:val="21"/>
          <w:szCs w:val="21"/>
        </w:rPr>
        <w:t>投标方提供的 OPC</w:t>
      </w:r>
      <w:r>
        <w:rPr>
          <w:rFonts w:hint="eastAsia" w:ascii="宋体" w:hAnsi="宋体" w:eastAsia="宋体" w:cs="Times New Roman"/>
          <w:color w:val="auto"/>
          <w:sz w:val="21"/>
          <w:szCs w:val="21"/>
        </w:rPr>
        <w:t>软件的用户界面简单明了，易于使用者管理和操作</w:t>
      </w:r>
      <w:r>
        <w:rPr>
          <w:rFonts w:hint="eastAsia" w:ascii="宋体" w:hAnsi="宋体" w:eastAsia="宋体" w:cs="Times New Roman"/>
          <w:color w:val="auto"/>
          <w:sz w:val="21"/>
          <w:szCs w:val="21"/>
          <w:lang w:eastAsia="zh-CN"/>
        </w:rPr>
        <w:t>；</w:t>
      </w:r>
    </w:p>
    <w:p>
      <w:pPr>
        <w:spacing w:line="360" w:lineRule="auto"/>
        <w:ind w:firstLine="420" w:firstLineChars="200"/>
        <w:rPr>
          <w:rFonts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*2.6.2</w:t>
      </w:r>
      <w:r>
        <w:rPr>
          <w:rFonts w:hint="eastAsia" w:ascii="宋体" w:hAnsi="宋体" w:eastAsia="宋体" w:cs="Times New Roman"/>
          <w:color w:val="auto"/>
          <w:sz w:val="21"/>
          <w:szCs w:val="21"/>
          <w:highlight w:val="none"/>
          <w:lang w:val="en-US" w:eastAsia="zh-CN"/>
        </w:rPr>
        <w:t xml:space="preserve"> </w:t>
      </w:r>
      <w:r>
        <w:rPr>
          <w:rFonts w:hint="eastAsia" w:ascii="宋体" w:hAnsi="宋体" w:cs="宋体"/>
          <w:color w:val="auto"/>
          <w:kern w:val="0"/>
          <w:sz w:val="21"/>
          <w:szCs w:val="21"/>
          <w:highlight w:val="none"/>
          <w:lang w:bidi="ar"/>
        </w:rPr>
        <w:t>Modbus Server</w:t>
      </w:r>
      <w:r>
        <w:rPr>
          <w:rFonts w:hint="eastAsia" w:ascii="宋体" w:hAnsi="宋体" w:cs="宋体"/>
          <w:color w:val="auto"/>
          <w:kern w:val="0"/>
          <w:sz w:val="21"/>
          <w:szCs w:val="21"/>
          <w:highlight w:val="none"/>
          <w:lang w:eastAsia="zh-CN" w:bidi="ar"/>
        </w:rPr>
        <w:t>、Universal</w:t>
      </w:r>
      <w:r>
        <w:rPr>
          <w:rFonts w:hint="eastAsia" w:ascii="宋体" w:hAnsi="宋体" w:cs="宋体"/>
          <w:color w:val="auto"/>
          <w:kern w:val="0"/>
          <w:sz w:val="21"/>
          <w:szCs w:val="21"/>
          <w:highlight w:val="none"/>
          <w:lang w:val="en-US" w:eastAsia="zh-CN" w:bidi="ar"/>
        </w:rPr>
        <w:t xml:space="preserve"> </w:t>
      </w:r>
      <w:r>
        <w:rPr>
          <w:rFonts w:hint="eastAsia" w:ascii="宋体" w:hAnsi="宋体" w:cs="宋体"/>
          <w:color w:val="auto"/>
          <w:kern w:val="0"/>
          <w:sz w:val="21"/>
          <w:szCs w:val="21"/>
          <w:highlight w:val="none"/>
          <w:lang w:bidi="ar"/>
        </w:rPr>
        <w:t>OPC Server</w:t>
      </w:r>
      <w:r>
        <w:rPr>
          <w:rFonts w:hint="eastAsia" w:ascii="宋体" w:hAnsi="宋体" w:eastAsia="宋体" w:cs="Times New Roman"/>
          <w:color w:val="auto"/>
          <w:sz w:val="21"/>
          <w:szCs w:val="21"/>
          <w:highlight w:val="none"/>
        </w:rPr>
        <w:t>能够</w:t>
      </w:r>
      <w:r>
        <w:rPr>
          <w:rFonts w:hint="eastAsia" w:ascii="宋体" w:hAnsi="宋体" w:eastAsia="宋体" w:cs="Times New Roman"/>
          <w:color w:val="auto"/>
          <w:sz w:val="21"/>
          <w:szCs w:val="21"/>
          <w:highlight w:val="none"/>
          <w:lang w:eastAsia="zh-CN"/>
        </w:rPr>
        <w:t>对所采集数据</w:t>
      </w:r>
      <w:r>
        <w:rPr>
          <w:rFonts w:hint="eastAsia" w:ascii="宋体" w:hAnsi="宋体" w:eastAsia="宋体" w:cs="Times New Roman"/>
          <w:color w:val="auto"/>
          <w:sz w:val="21"/>
          <w:szCs w:val="21"/>
          <w:highlight w:val="none"/>
        </w:rPr>
        <w:t>进行集中统一的管理</w:t>
      </w:r>
      <w:r>
        <w:rPr>
          <w:rFonts w:hint="eastAsia" w:ascii="宋体" w:hAnsi="宋体" w:eastAsia="宋体" w:cs="Times New Roman"/>
          <w:color w:val="auto"/>
          <w:sz w:val="21"/>
          <w:szCs w:val="21"/>
          <w:highlight w:val="none"/>
          <w:lang w:eastAsia="zh-CN"/>
        </w:rPr>
        <w:t>；</w:t>
      </w:r>
    </w:p>
    <w:p>
      <w:pPr>
        <w:spacing w:line="360" w:lineRule="auto"/>
        <w:ind w:firstLine="420" w:firstLineChars="200"/>
        <w:rPr>
          <w:rFonts w:ascii="宋体" w:hAnsi="宋体" w:eastAsia="宋体" w:cs="Times New Roman"/>
          <w:color w:val="auto"/>
          <w:sz w:val="21"/>
          <w:szCs w:val="21"/>
          <w:highlight w:val="none"/>
        </w:rPr>
      </w:pPr>
      <w:r>
        <w:rPr>
          <w:rFonts w:hint="eastAsia" w:ascii="宋体" w:hAnsi="宋体" w:eastAsia="宋体" w:cs="Times New Roman"/>
          <w:color w:val="auto"/>
          <w:sz w:val="21"/>
          <w:szCs w:val="21"/>
          <w:highlight w:val="none"/>
        </w:rPr>
        <w:t>*2.</w:t>
      </w:r>
      <w:r>
        <w:rPr>
          <w:rFonts w:hint="eastAsia" w:ascii="宋体" w:hAnsi="宋体" w:eastAsia="宋体" w:cs="Times New Roman"/>
          <w:color w:val="auto"/>
          <w:sz w:val="21"/>
          <w:szCs w:val="21"/>
          <w:highlight w:val="none"/>
          <w:lang w:val="en-US" w:eastAsia="zh-CN"/>
        </w:rPr>
        <w:t>6</w:t>
      </w:r>
      <w:r>
        <w:rPr>
          <w:rFonts w:hint="eastAsia" w:ascii="宋体" w:hAnsi="宋体" w:eastAsia="宋体" w:cs="Times New Roman"/>
          <w:color w:val="auto"/>
          <w:sz w:val="21"/>
          <w:szCs w:val="21"/>
          <w:highlight w:val="none"/>
        </w:rPr>
        <w:t>.3应提供良好的对OPC应用程序通信的性能分析工具；</w:t>
      </w:r>
    </w:p>
    <w:p>
      <w:pPr>
        <w:spacing w:line="360" w:lineRule="auto"/>
        <w:ind w:firstLine="482" w:firstLineChars="200"/>
        <w:rPr>
          <w:rFonts w:hint="eastAsia" w:ascii="宋体" w:hAnsi="宋体" w:eastAsia="宋体" w:cs="Times New Roman"/>
          <w:b/>
          <w:bCs/>
          <w:color w:val="auto"/>
          <w:sz w:val="24"/>
          <w:szCs w:val="24"/>
          <w:lang w:eastAsia="zh-CN"/>
        </w:rPr>
      </w:pPr>
      <w:r>
        <w:rPr>
          <w:rFonts w:hint="eastAsia" w:ascii="宋体" w:hAnsi="宋体" w:eastAsia="宋体" w:cs="Times New Roman"/>
          <w:b/>
          <w:bCs/>
          <w:color w:val="auto"/>
          <w:sz w:val="24"/>
          <w:szCs w:val="24"/>
          <w:lang w:val="en-US" w:eastAsia="zh-CN"/>
        </w:rPr>
        <w:t xml:space="preserve">3 </w:t>
      </w:r>
      <w:r>
        <w:rPr>
          <w:rFonts w:hint="eastAsia" w:ascii="宋体" w:hAnsi="宋体" w:eastAsia="宋体" w:cs="Times New Roman"/>
          <w:b/>
          <w:bCs/>
          <w:color w:val="auto"/>
          <w:sz w:val="24"/>
          <w:szCs w:val="24"/>
          <w:lang w:eastAsia="zh-CN"/>
        </w:rPr>
        <w:t>培训要求</w:t>
      </w:r>
    </w:p>
    <w:p>
      <w:pPr>
        <w:spacing w:line="360" w:lineRule="auto"/>
        <w:ind w:firstLine="420" w:firstLineChars="200"/>
        <w:rPr>
          <w:rFonts w:hint="eastAsia" w:ascii="宋体" w:hAnsi="宋体" w:eastAsia="宋体" w:cs="Times New Roman"/>
          <w:color w:val="auto"/>
          <w:sz w:val="21"/>
          <w:szCs w:val="21"/>
          <w:lang w:val="en-US" w:eastAsia="zh-CN"/>
        </w:rPr>
      </w:pPr>
      <w:r>
        <w:rPr>
          <w:rFonts w:hint="eastAsia" w:ascii="宋体" w:hAnsi="宋体" w:eastAsia="宋体" w:cs="Times New Roman"/>
          <w:color w:val="auto"/>
          <w:sz w:val="21"/>
          <w:szCs w:val="21"/>
          <w:lang w:val="en-US" w:eastAsia="zh-CN"/>
        </w:rPr>
        <w:t>*3.1 厂家向神东提供2周现场培训，培训人数不限,培训内容涵盖所投标软件设备的安装、调试和使用，使神东人员具备独立维护及配置的能力。</w:t>
      </w:r>
    </w:p>
    <w:p>
      <w:pPr>
        <w:spacing w:line="360" w:lineRule="auto"/>
        <w:ind w:firstLine="420" w:firstLineChars="200"/>
        <w:rPr>
          <w:rFonts w:hint="eastAsia" w:ascii="宋体" w:hAnsi="宋体" w:eastAsia="宋体" w:cs="Times New Roman"/>
          <w:color w:val="FF0000"/>
          <w:sz w:val="21"/>
          <w:szCs w:val="21"/>
          <w:highlight w:val="none"/>
          <w:lang w:val="en-US" w:eastAsia="zh-CN"/>
        </w:rPr>
      </w:pPr>
      <w:bookmarkStart w:id="1" w:name="OLE_LINK2"/>
      <w:r>
        <w:rPr>
          <w:rFonts w:hint="eastAsia" w:ascii="宋体" w:hAnsi="宋体" w:eastAsia="宋体" w:cs="Times New Roman"/>
          <w:color w:val="auto"/>
          <w:sz w:val="21"/>
          <w:szCs w:val="21"/>
          <w:highlight w:val="none"/>
          <w:lang w:val="en-US" w:eastAsia="zh-CN"/>
        </w:rPr>
        <w:t>*</w:t>
      </w:r>
      <w:bookmarkEnd w:id="1"/>
      <w:r>
        <w:rPr>
          <w:rFonts w:hint="eastAsia" w:ascii="宋体" w:hAnsi="宋体" w:eastAsia="宋体" w:cs="Times New Roman"/>
          <w:color w:val="auto"/>
          <w:sz w:val="21"/>
          <w:szCs w:val="21"/>
          <w:highlight w:val="none"/>
          <w:lang w:val="en-US" w:eastAsia="zh-CN"/>
        </w:rPr>
        <w:t>3.2 提供所</w:t>
      </w:r>
      <w:bookmarkStart w:id="2" w:name="OLE_LINK1"/>
      <w:r>
        <w:rPr>
          <w:rFonts w:hint="eastAsia" w:ascii="宋体" w:hAnsi="宋体" w:eastAsia="宋体" w:cs="Times New Roman"/>
          <w:color w:val="auto"/>
          <w:sz w:val="21"/>
          <w:szCs w:val="21"/>
          <w:highlight w:val="none"/>
          <w:lang w:val="en-US" w:eastAsia="zh-CN"/>
        </w:rPr>
        <w:t>投标</w:t>
      </w:r>
      <w:bookmarkEnd w:id="2"/>
      <w:r>
        <w:rPr>
          <w:rFonts w:hint="eastAsia" w:ascii="宋体" w:hAnsi="宋体" w:eastAsia="宋体" w:cs="Times New Roman"/>
          <w:color w:val="auto"/>
          <w:sz w:val="21"/>
          <w:szCs w:val="21"/>
          <w:highlight w:val="none"/>
          <w:lang w:val="en-US" w:eastAsia="zh-CN"/>
        </w:rPr>
        <w:t>软件安装、使用、维护中文手册，纸质版各5套，电子版刻录CD光盘1套。</w:t>
      </w:r>
    </w:p>
    <w:p>
      <w:pPr>
        <w:spacing w:line="360" w:lineRule="auto"/>
        <w:ind w:firstLine="482" w:firstLineChars="200"/>
        <w:rPr>
          <w:rFonts w:hint="eastAsia" w:ascii="宋体" w:hAnsi="宋体" w:eastAsia="宋体" w:cs="Times New Roman"/>
          <w:b/>
          <w:bCs/>
          <w:color w:val="auto"/>
          <w:sz w:val="24"/>
          <w:szCs w:val="24"/>
          <w:lang w:val="en-US" w:eastAsia="zh-CN"/>
        </w:rPr>
      </w:pPr>
      <w:r>
        <w:rPr>
          <w:rFonts w:hint="eastAsia" w:ascii="宋体" w:hAnsi="宋体" w:eastAsia="宋体" w:cs="Times New Roman"/>
          <w:b/>
          <w:bCs/>
          <w:color w:val="auto"/>
          <w:sz w:val="24"/>
          <w:szCs w:val="24"/>
          <w:lang w:val="en-US" w:eastAsia="zh-CN"/>
        </w:rPr>
        <w:t>4 投标人资质要求</w:t>
      </w:r>
    </w:p>
    <w:p>
      <w:pPr>
        <w:spacing w:line="360" w:lineRule="auto"/>
        <w:ind w:firstLine="420" w:firstLineChars="200"/>
        <w:rPr>
          <w:rFonts w:hint="eastAsia" w:ascii="宋体" w:hAnsi="宋体" w:eastAsia="宋体" w:cs="Times New Roman"/>
          <w:color w:val="auto"/>
          <w:sz w:val="21"/>
          <w:szCs w:val="21"/>
          <w:lang w:val="en-US" w:eastAsia="zh-CN"/>
        </w:rPr>
      </w:pPr>
      <w:r>
        <w:rPr>
          <w:rFonts w:hint="eastAsia" w:ascii="宋体" w:hAnsi="宋体" w:eastAsia="宋体" w:cs="Times New Roman"/>
          <w:color w:val="auto"/>
          <w:sz w:val="21"/>
          <w:szCs w:val="21"/>
          <w:lang w:val="en-US" w:eastAsia="zh-CN"/>
        </w:rPr>
        <w:t>*4.1投标人应在中华人民共和国注册并具有独立法人资格；</w:t>
      </w:r>
    </w:p>
    <w:p>
      <w:pPr>
        <w:spacing w:line="360" w:lineRule="auto"/>
        <w:ind w:firstLine="420" w:firstLineChars="200"/>
        <w:rPr>
          <w:rFonts w:hint="eastAsia" w:ascii="宋体" w:hAnsi="宋体" w:eastAsia="宋体" w:cs="Times New Roman"/>
          <w:color w:val="auto"/>
          <w:sz w:val="21"/>
          <w:szCs w:val="21"/>
          <w:lang w:val="en-US" w:eastAsia="zh-CN"/>
        </w:rPr>
      </w:pPr>
      <w:r>
        <w:rPr>
          <w:rFonts w:hint="eastAsia" w:ascii="宋体" w:hAnsi="宋体" w:eastAsia="宋体" w:cs="Times New Roman"/>
          <w:color w:val="auto"/>
          <w:sz w:val="21"/>
          <w:szCs w:val="21"/>
          <w:lang w:val="en-US" w:eastAsia="zh-CN"/>
        </w:rPr>
        <w:t>*4.2投标人已具备履行合同所需的财务、技术和生产能力，且注册资金不低于300万元；</w:t>
      </w:r>
    </w:p>
    <w:p>
      <w:pPr>
        <w:spacing w:line="360" w:lineRule="auto"/>
        <w:ind w:firstLine="420" w:firstLineChars="200"/>
        <w:rPr>
          <w:rFonts w:hint="eastAsia" w:ascii="宋体" w:hAnsi="宋体" w:eastAsia="宋体" w:cs="Times New Roman"/>
          <w:color w:val="auto"/>
          <w:sz w:val="21"/>
          <w:szCs w:val="21"/>
          <w:lang w:val="en-US" w:eastAsia="zh-CN"/>
        </w:rPr>
      </w:pPr>
      <w:r>
        <w:rPr>
          <w:rFonts w:hint="eastAsia" w:ascii="宋体" w:hAnsi="宋体" w:eastAsia="宋体" w:cs="Times New Roman"/>
          <w:color w:val="auto"/>
          <w:sz w:val="21"/>
          <w:szCs w:val="21"/>
          <w:lang w:val="en-US" w:eastAsia="zh-CN"/>
        </w:rPr>
        <w:t>*4.3 投标人应具有良好的银行资信和商业信誉，没有处于被责令停业，财产被接管、冻结、破产状态；</w:t>
      </w:r>
    </w:p>
    <w:p>
      <w:pPr>
        <w:spacing w:line="360" w:lineRule="auto"/>
        <w:ind w:firstLine="420" w:firstLineChars="200"/>
        <w:rPr>
          <w:rFonts w:hint="eastAsia" w:ascii="宋体" w:hAnsi="宋体" w:eastAsia="宋体" w:cs="Times New Roman"/>
          <w:color w:val="auto"/>
          <w:sz w:val="21"/>
          <w:szCs w:val="21"/>
          <w:lang w:val="en-US" w:eastAsia="zh-CN"/>
        </w:rPr>
      </w:pPr>
      <w:r>
        <w:rPr>
          <w:rFonts w:hint="eastAsia" w:ascii="宋体" w:hAnsi="宋体" w:eastAsia="宋体" w:cs="Times New Roman"/>
          <w:color w:val="auto"/>
          <w:sz w:val="21"/>
          <w:szCs w:val="21"/>
          <w:lang w:val="en-US" w:eastAsia="zh-CN"/>
        </w:rPr>
        <w:t>*4.4 投标方必须是MatrikonOPC授权代理商，必须有3年以上代理年限。</w:t>
      </w:r>
    </w:p>
    <w:p>
      <w:pPr>
        <w:spacing w:line="360" w:lineRule="auto"/>
        <w:ind w:firstLine="420" w:firstLineChars="200"/>
        <w:rPr>
          <w:rFonts w:ascii="宋体" w:hAnsi="宋体" w:eastAsia="宋体" w:cs="宋体"/>
          <w:kern w:val="0"/>
          <w:sz w:val="21"/>
          <w:szCs w:val="21"/>
          <w:lang w:val="en-US" w:eastAsia="zh-CN" w:bidi="ar"/>
        </w:rPr>
      </w:pPr>
      <w:r>
        <w:rPr>
          <w:rFonts w:hint="eastAsia" w:ascii="宋体" w:hAnsi="宋体" w:eastAsia="宋体" w:cs="Times New Roman"/>
          <w:color w:val="auto"/>
          <w:sz w:val="21"/>
          <w:szCs w:val="21"/>
          <w:lang w:val="en-US" w:eastAsia="zh-CN"/>
        </w:rPr>
        <w:t>*4.5 投标方是MatrikonOPC</w:t>
      </w:r>
      <w:r>
        <w:rPr>
          <w:rFonts w:hint="eastAsia" w:ascii="宋体" w:hAnsi="宋体" w:eastAsia="宋体" w:cs="Times New Roman"/>
          <w:sz w:val="21"/>
          <w:szCs w:val="21"/>
        </w:rPr>
        <w:t>授权</w:t>
      </w:r>
      <w:r>
        <w:rPr>
          <w:rFonts w:ascii="宋体" w:hAnsi="宋体" w:eastAsia="宋体" w:cs="Times New Roman"/>
          <w:sz w:val="21"/>
          <w:szCs w:val="21"/>
        </w:rPr>
        <w:t>CLASSIC OPC WORKSHOP</w:t>
      </w:r>
      <w:r>
        <w:rPr>
          <w:rFonts w:hint="eastAsia" w:ascii="宋体" w:hAnsi="宋体" w:eastAsia="宋体" w:cs="Times New Roman"/>
          <w:sz w:val="21"/>
          <w:szCs w:val="21"/>
        </w:rPr>
        <w:t>单位</w:t>
      </w:r>
      <w:r>
        <w:rPr>
          <w:rFonts w:hint="eastAsia" w:ascii="宋体" w:hAnsi="宋体" w:eastAsia="宋体" w:cs="Times New Roman"/>
          <w:color w:val="auto"/>
          <w:sz w:val="21"/>
          <w:szCs w:val="21"/>
          <w:lang w:val="en-US" w:eastAsia="zh-CN"/>
        </w:rPr>
        <w:t>，具有2年以上的培训资质。</w:t>
      </w:r>
      <w:r>
        <w:rPr>
          <w:rFonts w:ascii="宋体" w:hAnsi="宋体" w:eastAsia="宋体" w:cs="宋体"/>
          <w:kern w:val="0"/>
          <w:sz w:val="21"/>
          <w:szCs w:val="21"/>
          <w:lang w:val="en-US" w:eastAsia="zh-CN" w:bidi="ar"/>
        </w:rPr>
        <w:t xml:space="preserve"> </w:t>
      </w:r>
    </w:p>
    <w:p>
      <w:pPr>
        <w:spacing w:line="360" w:lineRule="auto"/>
        <w:ind w:firstLine="420" w:firstLineChars="200"/>
        <w:rPr>
          <w:rFonts w:hint="eastAsia" w:ascii="宋体" w:hAnsi="宋体" w:eastAsia="宋体" w:cs="Times New Roman"/>
          <w:color w:val="auto"/>
          <w:sz w:val="21"/>
          <w:szCs w:val="21"/>
          <w:lang w:eastAsia="zh-CN"/>
        </w:rPr>
      </w:pPr>
      <w:r>
        <w:rPr>
          <w:rFonts w:hint="eastAsia" w:ascii="宋体" w:hAnsi="宋体" w:eastAsia="宋体" w:cs="Times New Roman"/>
          <w:color w:val="auto"/>
          <w:sz w:val="21"/>
          <w:szCs w:val="21"/>
        </w:rPr>
        <w:t>*</w:t>
      </w:r>
      <w:r>
        <w:rPr>
          <w:rFonts w:hint="eastAsia" w:ascii="宋体" w:hAnsi="宋体" w:eastAsia="宋体" w:cs="Times New Roman"/>
          <w:color w:val="auto"/>
          <w:sz w:val="21"/>
          <w:szCs w:val="21"/>
          <w:lang w:val="en-US" w:eastAsia="zh-CN"/>
        </w:rPr>
        <w:t>4</w:t>
      </w:r>
      <w:r>
        <w:rPr>
          <w:rFonts w:hint="eastAsia" w:ascii="宋体" w:hAnsi="宋体" w:eastAsia="宋体" w:cs="Times New Roman"/>
          <w:color w:val="auto"/>
          <w:sz w:val="21"/>
          <w:szCs w:val="21"/>
        </w:rPr>
        <w:t>.</w:t>
      </w:r>
      <w:r>
        <w:rPr>
          <w:rFonts w:hint="eastAsia" w:ascii="宋体" w:hAnsi="宋体" w:eastAsia="宋体" w:cs="Times New Roman"/>
          <w:color w:val="auto"/>
          <w:sz w:val="21"/>
          <w:szCs w:val="21"/>
          <w:lang w:val="en-US" w:eastAsia="zh-CN"/>
        </w:rPr>
        <w:t>6</w:t>
      </w:r>
      <w:r>
        <w:rPr>
          <w:rFonts w:hint="eastAsia" w:ascii="宋体" w:hAnsi="宋体" w:eastAsia="宋体" w:cs="Times New Roman"/>
          <w:color w:val="auto"/>
          <w:sz w:val="21"/>
          <w:szCs w:val="21"/>
        </w:rPr>
        <w:t>投标的OPC产品应支持标准的OPC技术规范，并通过OPC基金会的认证</w:t>
      </w:r>
      <w:r>
        <w:rPr>
          <w:rFonts w:hint="eastAsia" w:ascii="宋体" w:hAnsi="宋体" w:eastAsia="宋体" w:cs="Times New Roman"/>
          <w:color w:val="auto"/>
          <w:sz w:val="21"/>
          <w:szCs w:val="21"/>
          <w:lang w:eastAsia="zh-CN"/>
        </w:rPr>
        <w:t>。</w:t>
      </w:r>
    </w:p>
    <w:p>
      <w:pPr>
        <w:spacing w:line="360" w:lineRule="auto"/>
        <w:ind w:firstLine="482" w:firstLineChars="200"/>
        <w:rPr>
          <w:rFonts w:hint="eastAsia" w:ascii="宋体" w:hAnsi="宋体" w:eastAsia="宋体" w:cs="Times New Roman"/>
          <w:b/>
          <w:bCs/>
          <w:color w:val="auto"/>
          <w:sz w:val="24"/>
          <w:szCs w:val="24"/>
          <w:lang w:val="en-US" w:eastAsia="zh-CN"/>
        </w:rPr>
      </w:pPr>
      <w:r>
        <w:rPr>
          <w:rFonts w:hint="eastAsia" w:ascii="宋体" w:hAnsi="宋体" w:eastAsia="宋体" w:cs="Times New Roman"/>
          <w:b/>
          <w:bCs/>
          <w:color w:val="auto"/>
          <w:sz w:val="24"/>
          <w:szCs w:val="24"/>
          <w:lang w:val="en-US" w:eastAsia="zh-CN"/>
        </w:rPr>
        <w:t>5 其他要求</w:t>
      </w:r>
    </w:p>
    <w:p>
      <w:pPr>
        <w:spacing w:line="360" w:lineRule="auto"/>
        <w:ind w:firstLine="420" w:firstLineChars="200"/>
        <w:rPr>
          <w:rFonts w:hint="eastAsia" w:ascii="宋体"/>
          <w:color w:val="000000"/>
          <w:szCs w:val="21"/>
          <w:lang w:val="en-US" w:eastAsia="zh-CN"/>
        </w:rPr>
      </w:pPr>
      <w:r>
        <w:rPr>
          <w:rFonts w:hint="eastAsia" w:ascii="宋体" w:hAnsi="宋体" w:eastAsia="宋体" w:cs="Times New Roman"/>
          <w:color w:val="auto"/>
          <w:sz w:val="21"/>
          <w:szCs w:val="21"/>
          <w:lang w:val="en-US" w:eastAsia="zh-CN"/>
        </w:rPr>
        <w:t xml:space="preserve">*5.1 </w:t>
      </w:r>
      <w:r>
        <w:rPr>
          <w:rFonts w:hint="eastAsia" w:ascii="宋体"/>
          <w:color w:val="000000"/>
          <w:szCs w:val="21"/>
          <w:lang w:val="en-US" w:eastAsia="zh-CN"/>
        </w:rPr>
        <w:t>提供原厂质保，质保期为1年。</w:t>
      </w:r>
    </w:p>
    <w:p>
      <w:pPr>
        <w:spacing w:line="360" w:lineRule="auto"/>
        <w:ind w:firstLine="420" w:firstLineChars="200"/>
        <w:rPr>
          <w:rFonts w:hint="eastAsia" w:ascii="宋体"/>
          <w:color w:val="000000"/>
          <w:szCs w:val="21"/>
          <w:lang w:val="en-US" w:eastAsia="zh-CN"/>
        </w:rPr>
      </w:pPr>
      <w:r>
        <w:rPr>
          <w:rFonts w:hint="eastAsia" w:ascii="宋体"/>
          <w:color w:val="000000"/>
          <w:szCs w:val="21"/>
          <w:lang w:val="en-US" w:eastAsia="zh-CN"/>
        </w:rPr>
        <w:t>*5.2 到货期限为合同签订后1个月。</w:t>
      </w:r>
    </w:p>
    <w:p>
      <w:pPr>
        <w:spacing w:line="360" w:lineRule="auto"/>
        <w:ind w:firstLine="420" w:firstLineChars="200"/>
        <w:rPr>
          <w:rFonts w:hint="eastAsia" w:ascii="宋体"/>
          <w:color w:val="000000"/>
          <w:szCs w:val="21"/>
          <w:lang w:val="en-US" w:eastAsia="zh-CN"/>
        </w:rPr>
      </w:pPr>
      <w:r>
        <w:rPr>
          <w:rFonts w:hint="eastAsia" w:ascii="宋体"/>
          <w:color w:val="000000"/>
          <w:szCs w:val="21"/>
          <w:lang w:val="en-US" w:eastAsia="zh-CN"/>
        </w:rPr>
        <w:t>*5.3 所提供软件在神东指定地点进行试验，神东公司评议通过后，方可进行后续工作，否则解除双方合同关系。</w:t>
      </w:r>
    </w:p>
    <w:p>
      <w:pPr>
        <w:spacing w:line="360" w:lineRule="auto"/>
        <w:ind w:firstLine="420" w:firstLineChars="200"/>
        <w:rPr>
          <w:rFonts w:hint="eastAsia" w:ascii="宋体"/>
          <w:color w:val="000000"/>
          <w:szCs w:val="21"/>
          <w:lang w:val="en-US" w:eastAsia="zh-CN"/>
        </w:rPr>
      </w:pPr>
      <w:r>
        <w:rPr>
          <w:rFonts w:hint="eastAsia" w:ascii="宋体"/>
          <w:color w:val="000000"/>
          <w:szCs w:val="21"/>
          <w:lang w:val="en-US" w:eastAsia="zh-CN"/>
        </w:rPr>
        <w:t>*5.4 未经招标人允许所有数据不得向第三方泄露。</w:t>
      </w:r>
    </w:p>
    <w:p>
      <w:pPr>
        <w:spacing w:line="360" w:lineRule="auto"/>
        <w:ind w:firstLine="420" w:firstLineChars="200"/>
        <w:rPr>
          <w:rFonts w:hint="eastAsia" w:ascii="宋体"/>
          <w:color w:val="000000"/>
          <w:szCs w:val="21"/>
          <w:lang w:val="en-US" w:eastAsia="zh-CN"/>
        </w:rPr>
      </w:pPr>
    </w:p>
    <w:p>
      <w:pPr>
        <w:pStyle w:val="13"/>
        <w:jc w:val="center"/>
        <w:rPr>
          <w:rFonts w:hint="eastAsia"/>
          <w:lang w:val="en-US" w:eastAsia="zh-CN"/>
        </w:rPr>
      </w:pPr>
      <w:bookmarkStart w:id="3" w:name="_Toc357086143"/>
      <w:r>
        <w:rPr>
          <w:rFonts w:hint="eastAsia"/>
          <w:lang w:val="en-US" w:eastAsia="zh-CN"/>
        </w:rPr>
        <w:br w:type="page"/>
      </w:r>
    </w:p>
    <w:p>
      <w:pPr>
        <w:pStyle w:val="13"/>
        <w:jc w:val="center"/>
        <w:rPr>
          <w:rFonts w:hint="eastAsia"/>
          <w:lang w:val="en-US" w:eastAsia="zh-CN"/>
        </w:rPr>
      </w:pPr>
    </w:p>
    <w:p>
      <w:pPr>
        <w:pStyle w:val="13"/>
        <w:jc w:val="center"/>
      </w:pPr>
      <w:r>
        <w:rPr>
          <w:rFonts w:hint="eastAsia"/>
        </w:rPr>
        <w:t>第二节 备件和工具</w:t>
      </w:r>
      <w:bookmarkEnd w:id="3"/>
    </w:p>
    <w:p>
      <w:pPr>
        <w:pStyle w:val="13"/>
        <w:jc w:val="center"/>
      </w:pPr>
    </w:p>
    <w:p>
      <w:pPr>
        <w:adjustRightInd w:val="0"/>
        <w:snapToGrid w:val="0"/>
        <w:spacing w:line="360" w:lineRule="auto"/>
        <w:ind w:firstLine="210" w:firstLineChars="100"/>
        <w:rPr>
          <w:rFonts w:hint="eastAsia" w:ascii="宋体" w:hAnsi="宋体"/>
          <w:szCs w:val="21"/>
        </w:rPr>
      </w:pPr>
      <w:bookmarkStart w:id="4" w:name="_Toc357086144"/>
      <w:r>
        <w:rPr>
          <w:rFonts w:hint="eastAsia" w:ascii="宋体" w:hAnsi="宋体"/>
          <w:szCs w:val="21"/>
        </w:rPr>
        <w:t>1. 所有设备的安装、试运行、质保期内和质保期后1年必备的备件、消耗品，包括专用工具、仪器、仪表等，在设备交货时提供。推迟的交货期将按照设备推迟交货计算。</w:t>
      </w:r>
    </w:p>
    <w:p>
      <w:pPr>
        <w:adjustRightInd w:val="0"/>
        <w:snapToGrid w:val="0"/>
        <w:spacing w:line="360" w:lineRule="auto"/>
        <w:ind w:firstLine="210" w:firstLineChars="100"/>
        <w:rPr>
          <w:rFonts w:hint="eastAsia" w:ascii="宋体" w:hAnsi="宋体"/>
          <w:szCs w:val="21"/>
        </w:rPr>
      </w:pPr>
      <w:r>
        <w:rPr>
          <w:rFonts w:hint="eastAsia" w:ascii="宋体" w:hAnsi="宋体"/>
          <w:szCs w:val="21"/>
        </w:rPr>
        <w:t>2. 中标方应提供完整备件手册、备件件号、数量、规格型号、价格表的CD盘，随同设备发货。</w:t>
      </w:r>
    </w:p>
    <w:p>
      <w:pPr>
        <w:adjustRightInd w:val="0"/>
        <w:snapToGrid w:val="0"/>
        <w:spacing w:line="360" w:lineRule="auto"/>
        <w:ind w:firstLine="210" w:firstLineChars="100"/>
        <w:rPr>
          <w:rFonts w:hint="eastAsia" w:ascii="宋体" w:hAnsi="宋体"/>
          <w:szCs w:val="21"/>
        </w:rPr>
      </w:pPr>
      <w:r>
        <w:rPr>
          <w:rFonts w:hint="eastAsia" w:ascii="宋体" w:hAnsi="宋体"/>
          <w:szCs w:val="21"/>
        </w:rPr>
        <w:t>3. 中标方应保证所有零部件均有唯一编码，如属外购标准件，要求必须按照原厂家编码执行。</w:t>
      </w:r>
    </w:p>
    <w:p>
      <w:pPr>
        <w:adjustRightInd w:val="0"/>
        <w:snapToGrid w:val="0"/>
        <w:spacing w:line="360" w:lineRule="auto"/>
        <w:ind w:firstLine="210" w:firstLineChars="100"/>
        <w:rPr>
          <w:rFonts w:hint="eastAsia" w:ascii="宋体" w:hAnsi="宋体"/>
          <w:szCs w:val="21"/>
        </w:rPr>
      </w:pPr>
      <w:r>
        <w:rPr>
          <w:rFonts w:hint="eastAsia" w:ascii="宋体" w:hAnsi="宋体"/>
          <w:szCs w:val="21"/>
        </w:rPr>
        <w:t>4. 中标方还应进一步提供设备上的所需的备件、易耗品及标准件的货源地。</w:t>
      </w:r>
    </w:p>
    <w:p>
      <w:pPr>
        <w:adjustRightInd w:val="0"/>
        <w:snapToGrid w:val="0"/>
        <w:spacing w:line="360" w:lineRule="auto"/>
        <w:ind w:firstLine="210" w:firstLineChars="100"/>
        <w:rPr>
          <w:rFonts w:hint="eastAsia" w:ascii="宋体" w:hAnsi="宋体"/>
          <w:szCs w:val="21"/>
        </w:rPr>
      </w:pPr>
      <w:r>
        <w:rPr>
          <w:rFonts w:hint="eastAsia" w:ascii="宋体" w:hAnsi="宋体"/>
          <w:szCs w:val="21"/>
        </w:rPr>
        <w:t>5. 设备采用的外购、外协件应提供原产地证明及检验合格证书。</w:t>
      </w:r>
    </w:p>
    <w:p>
      <w:pPr>
        <w:adjustRightInd w:val="0"/>
        <w:snapToGrid w:val="0"/>
        <w:spacing w:line="360" w:lineRule="auto"/>
        <w:ind w:firstLine="210" w:firstLineChars="100"/>
        <w:rPr>
          <w:rFonts w:hint="eastAsia" w:ascii="宋体" w:hAnsi="宋体"/>
          <w:szCs w:val="21"/>
        </w:rPr>
      </w:pPr>
      <w:r>
        <w:rPr>
          <w:rFonts w:hint="eastAsia" w:ascii="宋体" w:hAnsi="宋体"/>
          <w:szCs w:val="21"/>
        </w:rPr>
        <w:t>6. 如因为中标人提供1年期备件明细不准确，导致招标人方误采购或按明细提供数量不足以满足生产需求，中标人应免费提供相应的备件。</w:t>
      </w:r>
    </w:p>
    <w:p>
      <w:pPr>
        <w:adjustRightInd w:val="0"/>
        <w:snapToGrid w:val="0"/>
        <w:spacing w:line="360" w:lineRule="auto"/>
        <w:ind w:firstLine="210" w:firstLineChars="100"/>
        <w:rPr>
          <w:rFonts w:hint="eastAsia" w:ascii="宋体" w:hAnsi="宋体"/>
          <w:szCs w:val="21"/>
        </w:rPr>
      </w:pPr>
      <w:r>
        <w:rPr>
          <w:rFonts w:hint="eastAsia" w:ascii="宋体" w:hAnsi="宋体"/>
          <w:szCs w:val="21"/>
        </w:rPr>
        <w:t>7. 中标人应保证长期以最优惠的价格供给易损件和备件。如果备件发生设计变更，应将变更信息及时通知招标人。</w:t>
      </w:r>
    </w:p>
    <w:p>
      <w:pPr>
        <w:adjustRightInd w:val="0"/>
        <w:snapToGrid w:val="0"/>
        <w:spacing w:line="360" w:lineRule="auto"/>
        <w:ind w:firstLine="210" w:firstLineChars="100"/>
        <w:rPr>
          <w:rFonts w:hint="eastAsia" w:ascii="宋体" w:hAnsi="宋体"/>
          <w:szCs w:val="21"/>
        </w:rPr>
      </w:pPr>
      <w:r>
        <w:rPr>
          <w:rFonts w:hint="eastAsia" w:ascii="宋体" w:hAnsi="宋体"/>
          <w:szCs w:val="21"/>
        </w:rPr>
        <w:t>8. 中标人备件价格在设备开始使用的3年内必须维持稳定。</w:t>
      </w:r>
    </w:p>
    <w:p>
      <w:pPr>
        <w:adjustRightInd w:val="0"/>
        <w:snapToGrid w:val="0"/>
        <w:spacing w:line="360" w:lineRule="auto"/>
        <w:ind w:firstLine="210" w:firstLineChars="100"/>
        <w:rPr>
          <w:rFonts w:hint="eastAsia" w:ascii="宋体" w:hAnsi="宋体"/>
          <w:szCs w:val="21"/>
        </w:rPr>
      </w:pPr>
      <w:r>
        <w:rPr>
          <w:rFonts w:hint="eastAsia" w:ascii="宋体" w:hAnsi="宋体"/>
          <w:szCs w:val="21"/>
        </w:rPr>
        <w:t>9. 在5年内，因中标人技术升级导致部分备件不能提供时，中标人要免费为用户升级设备。</w:t>
      </w:r>
    </w:p>
    <w:p>
      <w:pPr>
        <w:adjustRightInd w:val="0"/>
        <w:snapToGrid w:val="0"/>
        <w:spacing w:line="360" w:lineRule="auto"/>
        <w:ind w:firstLine="210" w:firstLineChars="100"/>
        <w:rPr>
          <w:rFonts w:hint="eastAsia" w:ascii="宋体" w:hAnsi="宋体"/>
          <w:szCs w:val="21"/>
        </w:rPr>
      </w:pPr>
      <w:r>
        <w:rPr>
          <w:rFonts w:hint="eastAsia" w:ascii="宋体" w:hAnsi="宋体"/>
          <w:szCs w:val="21"/>
        </w:rPr>
        <w:t>10. 5年后在备件停止生产的情况下，中标人应事先将要停止生产的计划通知招标人，使招标人有足够的时间采购所需的备件。</w:t>
      </w:r>
    </w:p>
    <w:p>
      <w:pPr>
        <w:adjustRightInd w:val="0"/>
        <w:snapToGrid w:val="0"/>
        <w:spacing w:line="360" w:lineRule="auto"/>
        <w:ind w:firstLine="210" w:firstLineChars="100"/>
        <w:rPr>
          <w:rFonts w:hint="eastAsia" w:ascii="宋体" w:hAnsi="宋体"/>
          <w:szCs w:val="21"/>
        </w:rPr>
      </w:pPr>
      <w:r>
        <w:rPr>
          <w:rFonts w:hint="eastAsia" w:ascii="宋体" w:hAnsi="宋体"/>
          <w:szCs w:val="21"/>
        </w:rPr>
        <w:t>11. 5年后在备件停止生产后，如果招标人要求，中标人应免费向买方提供备件的蓝图、图纸和规格。</w:t>
      </w:r>
    </w:p>
    <w:p>
      <w:pPr>
        <w:adjustRightInd w:val="0"/>
        <w:snapToGrid w:val="0"/>
        <w:spacing w:line="360" w:lineRule="auto"/>
        <w:ind w:firstLine="210" w:firstLineChars="100"/>
        <w:rPr>
          <w:rFonts w:hint="eastAsia" w:ascii="宋体" w:hAnsi="宋体"/>
          <w:szCs w:val="21"/>
        </w:rPr>
      </w:pPr>
    </w:p>
    <w:p>
      <w:pPr>
        <w:adjustRightInd w:val="0"/>
        <w:snapToGrid w:val="0"/>
        <w:spacing w:beforeLines="50" w:line="360" w:lineRule="auto"/>
        <w:ind w:left="315" w:hanging="315" w:hangingChars="150"/>
        <w:rPr>
          <w:rFonts w:ascii="宋体" w:hAnsi="宋体"/>
          <w:szCs w:val="21"/>
        </w:rPr>
      </w:pPr>
    </w:p>
    <w:p>
      <w:pPr>
        <w:pStyle w:val="13"/>
        <w:jc w:val="center"/>
      </w:pPr>
      <w:r>
        <w:rPr>
          <w:rFonts w:hint="eastAsia"/>
        </w:rPr>
        <w:t>第三节 设备出厂前检验</w:t>
      </w:r>
      <w:bookmarkEnd w:id="4"/>
    </w:p>
    <w:p>
      <w:pPr>
        <w:pStyle w:val="13"/>
        <w:jc w:val="center"/>
      </w:pPr>
    </w:p>
    <w:p>
      <w:pPr>
        <w:adjustRightInd w:val="0"/>
        <w:snapToGrid w:val="0"/>
        <w:spacing w:line="360" w:lineRule="auto"/>
        <w:ind w:firstLine="210" w:firstLineChars="100"/>
        <w:rPr>
          <w:rFonts w:ascii="宋体" w:hAnsi="宋体"/>
          <w:szCs w:val="21"/>
        </w:rPr>
      </w:pPr>
      <w:r>
        <w:rPr>
          <w:rFonts w:hint="eastAsia" w:ascii="宋体" w:hAnsi="宋体"/>
          <w:szCs w:val="21"/>
        </w:rPr>
        <w:t>1. 为了对合同设备及其相关设备生产期间的质量检验，招标人有权派人到中标人所在工厂进行检验。对于在中标人所在地的交通费用和为便于招标人质检要求，诸如必要的安全用具、办公用品、技术文件和图纸、核算数据、制造和检验标准及其它必备的检验数据应由中标人免费提供。</w:t>
      </w:r>
    </w:p>
    <w:p>
      <w:pPr>
        <w:adjustRightInd w:val="0"/>
        <w:snapToGrid w:val="0"/>
        <w:spacing w:line="360" w:lineRule="auto"/>
        <w:ind w:firstLine="210" w:firstLineChars="100"/>
        <w:rPr>
          <w:rFonts w:ascii="宋体" w:hAnsi="宋体"/>
          <w:szCs w:val="21"/>
        </w:rPr>
      </w:pPr>
      <w:r>
        <w:rPr>
          <w:rFonts w:hint="eastAsia" w:ascii="宋体" w:hAnsi="宋体"/>
          <w:szCs w:val="21"/>
        </w:rPr>
        <w:t>2. 在制造期间招标人的一切监理和质检活动所形成的书面资料均不作为中标人产品质量证明文件。在交货前招标人的质检，既不能免去合同中属于供货商质量担保期范围内的责任，也不能替代设备抵运招标人现场的质量检验。</w:t>
      </w:r>
    </w:p>
    <w:p>
      <w:pPr>
        <w:adjustRightInd w:val="0"/>
        <w:snapToGrid w:val="0"/>
        <w:spacing w:line="360" w:lineRule="auto"/>
        <w:ind w:firstLine="210" w:firstLineChars="100"/>
        <w:rPr>
          <w:rFonts w:ascii="宋体" w:hAnsi="宋体"/>
          <w:szCs w:val="21"/>
        </w:rPr>
      </w:pPr>
      <w:r>
        <w:rPr>
          <w:rFonts w:hint="eastAsia" w:ascii="宋体" w:hAnsi="宋体"/>
          <w:szCs w:val="21"/>
        </w:rPr>
        <w:t>3．在中检中质检团成员发现或提出的问题，双方应积极通过友好协商解决。</w:t>
      </w:r>
    </w:p>
    <w:p>
      <w:pPr>
        <w:adjustRightInd w:val="0"/>
        <w:snapToGrid w:val="0"/>
        <w:spacing w:line="360" w:lineRule="auto"/>
        <w:ind w:firstLine="210" w:firstLineChars="100"/>
        <w:rPr>
          <w:rFonts w:ascii="宋体" w:hAnsi="宋体"/>
          <w:szCs w:val="21"/>
        </w:rPr>
      </w:pPr>
      <w:r>
        <w:rPr>
          <w:rFonts w:hint="eastAsia" w:ascii="宋体" w:hAnsi="宋体"/>
          <w:szCs w:val="21"/>
        </w:rPr>
        <w:t>4. 设备在出厂前必须进行整体联合试运转，根据试运转时间确定招标人中检时间，联合试运转应在招标人中检人员监督下进行。</w:t>
      </w:r>
    </w:p>
    <w:p>
      <w:pPr>
        <w:adjustRightInd w:val="0"/>
        <w:snapToGrid w:val="0"/>
        <w:spacing w:line="360" w:lineRule="auto"/>
        <w:ind w:firstLine="210" w:firstLineChars="100"/>
        <w:rPr>
          <w:rFonts w:hint="eastAsia" w:ascii="宋体" w:hAnsi="宋体"/>
          <w:szCs w:val="21"/>
        </w:rPr>
      </w:pPr>
      <w:r>
        <w:rPr>
          <w:rFonts w:hint="eastAsia" w:ascii="宋体" w:hAnsi="宋体"/>
          <w:szCs w:val="21"/>
        </w:rPr>
        <w:t>5. 在设备到达招标人现场后组装试运转中如出现问题，原因是中标人没有在出厂前进行设备整体联合试运转，因此推迟的时间将按照推迟交货期来计算。</w:t>
      </w:r>
    </w:p>
    <w:p>
      <w:pPr>
        <w:adjustRightInd w:val="0"/>
        <w:snapToGrid w:val="0"/>
        <w:spacing w:line="360" w:lineRule="auto"/>
        <w:ind w:firstLine="210" w:firstLineChars="100"/>
        <w:rPr>
          <w:rFonts w:hint="eastAsia" w:ascii="宋体" w:hAnsi="宋体"/>
          <w:szCs w:val="21"/>
        </w:rPr>
      </w:pPr>
    </w:p>
    <w:p>
      <w:pPr>
        <w:adjustRightInd w:val="0"/>
        <w:snapToGrid w:val="0"/>
        <w:spacing w:line="360" w:lineRule="auto"/>
        <w:rPr>
          <w:rFonts w:hint="eastAsia"/>
        </w:rPr>
      </w:pPr>
      <w:bookmarkStart w:id="5" w:name="_Toc357086145"/>
    </w:p>
    <w:p>
      <w:pPr>
        <w:adjustRightInd w:val="0"/>
        <w:snapToGrid w:val="0"/>
        <w:spacing w:line="360" w:lineRule="auto"/>
        <w:jc w:val="center"/>
        <w:rPr>
          <w:rFonts w:hint="eastAsia" w:ascii="Times New Roman" w:hAnsi="Times New Roman" w:eastAsia="黑体" w:cs="宋体"/>
          <w:b w:val="0"/>
          <w:bCs w:val="0"/>
          <w:kern w:val="0"/>
          <w:sz w:val="28"/>
          <w:szCs w:val="20"/>
          <w:lang w:val="en-US" w:eastAsia="zh-CN" w:bidi="ar-SA"/>
        </w:rPr>
      </w:pPr>
      <w:r>
        <w:rPr>
          <w:rFonts w:hint="eastAsia" w:ascii="Times New Roman" w:hAnsi="Times New Roman" w:eastAsia="黑体" w:cs="宋体"/>
          <w:b w:val="0"/>
          <w:bCs w:val="0"/>
          <w:kern w:val="0"/>
          <w:sz w:val="28"/>
          <w:szCs w:val="20"/>
          <w:lang w:val="en-US" w:eastAsia="zh-CN" w:bidi="ar-SA"/>
        </w:rPr>
        <w:t>第四节 技术服务</w:t>
      </w:r>
      <w:bookmarkEnd w:id="5"/>
    </w:p>
    <w:p>
      <w:pPr>
        <w:adjustRightInd w:val="0"/>
        <w:snapToGrid w:val="0"/>
        <w:spacing w:line="360" w:lineRule="auto"/>
        <w:jc w:val="center"/>
        <w:rPr>
          <w:rFonts w:ascii="宋体" w:hAnsi="宋体"/>
          <w:szCs w:val="21"/>
        </w:rPr>
      </w:pPr>
    </w:p>
    <w:p>
      <w:pPr>
        <w:adjustRightInd w:val="0"/>
        <w:snapToGrid w:val="0"/>
        <w:spacing w:line="360" w:lineRule="auto"/>
        <w:ind w:firstLine="210" w:firstLineChars="100"/>
        <w:rPr>
          <w:rFonts w:ascii="宋体" w:hAnsi="宋体"/>
          <w:szCs w:val="21"/>
        </w:rPr>
      </w:pPr>
      <w:r>
        <w:rPr>
          <w:rFonts w:hint="eastAsia" w:ascii="宋体" w:hAnsi="宋体"/>
          <w:szCs w:val="21"/>
        </w:rPr>
        <w:t>1. 中标人将派出有技术、有能力胜任的服务工程师到现场，提供有关安装管理、调试、空载测试、性能测试、试运转、维修及现场培训维修人员的服务。中标人服务工程师的主要责任与任务如下：</w:t>
      </w:r>
    </w:p>
    <w:p>
      <w:pPr>
        <w:adjustRightInd w:val="0"/>
        <w:snapToGrid w:val="0"/>
        <w:spacing w:line="360" w:lineRule="auto"/>
        <w:ind w:firstLine="210" w:firstLineChars="100"/>
        <w:rPr>
          <w:rFonts w:ascii="宋体" w:hAnsi="宋体"/>
          <w:szCs w:val="21"/>
        </w:rPr>
      </w:pPr>
      <w:r>
        <w:rPr>
          <w:rFonts w:hint="eastAsia" w:ascii="宋体" w:hAnsi="宋体"/>
          <w:szCs w:val="21"/>
        </w:rPr>
        <w:t>——给招标人安装人员提供完整的技术指导。</w:t>
      </w:r>
    </w:p>
    <w:p>
      <w:pPr>
        <w:adjustRightInd w:val="0"/>
        <w:snapToGrid w:val="0"/>
        <w:spacing w:line="360" w:lineRule="auto"/>
        <w:ind w:firstLine="210" w:firstLineChars="100"/>
        <w:rPr>
          <w:rFonts w:ascii="宋体" w:hAnsi="宋体"/>
          <w:szCs w:val="21"/>
        </w:rPr>
      </w:pPr>
      <w:r>
        <w:rPr>
          <w:rFonts w:hint="eastAsia" w:ascii="宋体" w:hAnsi="宋体"/>
          <w:szCs w:val="21"/>
        </w:rPr>
        <w:t>——指导招标人人员进行合同设备的试运转，运行测试和性能测试。</w:t>
      </w:r>
    </w:p>
    <w:p>
      <w:pPr>
        <w:adjustRightInd w:val="0"/>
        <w:snapToGrid w:val="0"/>
        <w:spacing w:line="360" w:lineRule="auto"/>
        <w:ind w:firstLine="210" w:firstLineChars="100"/>
        <w:rPr>
          <w:rFonts w:ascii="宋体" w:hAnsi="宋体"/>
          <w:szCs w:val="21"/>
        </w:rPr>
      </w:pPr>
      <w:r>
        <w:rPr>
          <w:rFonts w:hint="eastAsia" w:ascii="宋体" w:hAnsi="宋体"/>
          <w:szCs w:val="21"/>
        </w:rPr>
        <w:t>——培训招标人人员。</w:t>
      </w:r>
    </w:p>
    <w:p>
      <w:pPr>
        <w:adjustRightInd w:val="0"/>
        <w:snapToGrid w:val="0"/>
        <w:spacing w:line="360" w:lineRule="auto"/>
        <w:ind w:firstLine="210" w:firstLineChars="100"/>
        <w:rPr>
          <w:rFonts w:ascii="宋体" w:hAnsi="宋体"/>
          <w:szCs w:val="21"/>
        </w:rPr>
      </w:pPr>
      <w:r>
        <w:rPr>
          <w:rFonts w:hint="eastAsia" w:ascii="宋体" w:hAnsi="宋体"/>
          <w:szCs w:val="21"/>
        </w:rPr>
        <w:t>——设备投入使用后提供现场运行技术支持。</w:t>
      </w:r>
    </w:p>
    <w:p>
      <w:pPr>
        <w:adjustRightInd w:val="0"/>
        <w:snapToGrid w:val="0"/>
        <w:spacing w:line="360" w:lineRule="auto"/>
        <w:ind w:firstLine="210" w:firstLineChars="100"/>
        <w:rPr>
          <w:rFonts w:ascii="宋体" w:hAnsi="宋体"/>
          <w:szCs w:val="21"/>
        </w:rPr>
      </w:pPr>
      <w:r>
        <w:rPr>
          <w:rFonts w:hint="eastAsia" w:ascii="宋体" w:hAnsi="宋体"/>
          <w:szCs w:val="21"/>
        </w:rPr>
        <w:t>——质保期内技术服务。</w:t>
      </w:r>
    </w:p>
    <w:p>
      <w:pPr>
        <w:adjustRightInd w:val="0"/>
        <w:snapToGrid w:val="0"/>
        <w:spacing w:line="360" w:lineRule="auto"/>
        <w:ind w:firstLine="210" w:firstLineChars="100"/>
        <w:rPr>
          <w:rFonts w:ascii="宋体" w:hAnsi="宋体"/>
          <w:szCs w:val="21"/>
        </w:rPr>
      </w:pPr>
      <w:r>
        <w:rPr>
          <w:rFonts w:hint="eastAsia" w:ascii="宋体" w:hAnsi="宋体"/>
          <w:szCs w:val="21"/>
        </w:rPr>
        <w:t>2. 安装前，应由中标人的技术服务人员给予招标人安装人员提供合同设备的装配介绍、讲课与培训；详细解释技术文件、图纸和操作手册以及设备运行和相关的预防措施等；回答和解决招标人人员提出的技术问题。中标人技术人员的指导必须是正确的，如果出现由于非正确技术指导而造成的损失，中标人将自出资金维修、更换或补偿损失部分。</w:t>
      </w:r>
    </w:p>
    <w:p>
      <w:pPr>
        <w:adjustRightInd w:val="0"/>
        <w:snapToGrid w:val="0"/>
        <w:spacing w:line="360" w:lineRule="auto"/>
        <w:ind w:firstLine="210" w:firstLineChars="100"/>
        <w:rPr>
          <w:rFonts w:ascii="宋体" w:hAnsi="宋体"/>
          <w:szCs w:val="21"/>
        </w:rPr>
      </w:pPr>
      <w:r>
        <w:rPr>
          <w:rFonts w:hint="eastAsia" w:ascii="宋体" w:hAnsi="宋体"/>
          <w:szCs w:val="21"/>
        </w:rPr>
        <w:t>3.中标人将提供所有的关于装配与组装所用的专用工具,例如:专用测试仪、测量仪和机械工具。</w:t>
      </w:r>
    </w:p>
    <w:p>
      <w:pPr>
        <w:adjustRightInd w:val="0"/>
        <w:snapToGrid w:val="0"/>
        <w:spacing w:line="360" w:lineRule="auto"/>
        <w:ind w:firstLine="210" w:firstLineChars="100"/>
        <w:rPr>
          <w:rFonts w:ascii="宋体" w:hAnsi="宋体"/>
          <w:szCs w:val="21"/>
        </w:rPr>
      </w:pPr>
      <w:r>
        <w:rPr>
          <w:rFonts w:hint="eastAsia" w:ascii="宋体" w:hAnsi="宋体"/>
          <w:szCs w:val="21"/>
        </w:rPr>
        <w:t>4.在现场举行由双方参加的会议，对所提供设备进行安装的准备工作进行讨论。</w:t>
      </w:r>
    </w:p>
    <w:p>
      <w:pPr>
        <w:adjustRightInd w:val="0"/>
        <w:snapToGrid w:val="0"/>
        <w:spacing w:line="360" w:lineRule="auto"/>
        <w:ind w:firstLine="210" w:firstLineChars="100"/>
        <w:rPr>
          <w:rFonts w:ascii="宋体" w:hAnsi="宋体"/>
          <w:szCs w:val="21"/>
        </w:rPr>
      </w:pPr>
      <w:r>
        <w:rPr>
          <w:rFonts w:hint="eastAsia" w:ascii="宋体" w:hAnsi="宋体"/>
          <w:szCs w:val="21"/>
        </w:rPr>
        <w:t>5. 对于安装指导、测试运转、性能测试、试运转和验收，包括招标人操作和维修人员的现场培训,中标人需免费提供。</w:t>
      </w:r>
    </w:p>
    <w:p>
      <w:pPr>
        <w:adjustRightInd w:val="0"/>
        <w:snapToGrid w:val="0"/>
        <w:spacing w:line="360" w:lineRule="auto"/>
        <w:ind w:firstLine="210" w:firstLineChars="100"/>
        <w:rPr>
          <w:rFonts w:ascii="宋体" w:hAnsi="宋体"/>
          <w:szCs w:val="21"/>
        </w:rPr>
      </w:pPr>
      <w:r>
        <w:rPr>
          <w:rFonts w:hint="eastAsia" w:ascii="宋体" w:hAnsi="宋体"/>
          <w:szCs w:val="21"/>
        </w:rPr>
        <w:t>6. 中标人应提供用于招标人自行培训人员需要使用的相关培训资料。</w:t>
      </w:r>
    </w:p>
    <w:p>
      <w:pPr>
        <w:adjustRightInd w:val="0"/>
        <w:snapToGrid w:val="0"/>
        <w:spacing w:line="360" w:lineRule="auto"/>
        <w:ind w:firstLine="210" w:firstLineChars="100"/>
        <w:rPr>
          <w:rFonts w:ascii="宋体" w:hAnsi="宋体"/>
          <w:szCs w:val="21"/>
        </w:rPr>
      </w:pPr>
      <w:r>
        <w:rPr>
          <w:rFonts w:hint="eastAsia" w:ascii="宋体" w:hAnsi="宋体"/>
          <w:szCs w:val="21"/>
        </w:rPr>
        <w:t>7. 设备过质保期后，在设备使用寿命内，如招标人需要，中标人应确保服务工程师到现场进行技术服务。</w:t>
      </w:r>
    </w:p>
    <w:p>
      <w:pPr>
        <w:adjustRightInd w:val="0"/>
        <w:snapToGrid w:val="0"/>
        <w:spacing w:line="360" w:lineRule="auto"/>
        <w:ind w:firstLine="210" w:firstLineChars="100"/>
        <w:rPr>
          <w:rFonts w:ascii="宋体" w:hAnsi="宋体"/>
          <w:szCs w:val="21"/>
        </w:rPr>
      </w:pPr>
      <w:r>
        <w:rPr>
          <w:rFonts w:hint="eastAsia" w:ascii="宋体" w:hAnsi="宋体"/>
          <w:szCs w:val="21"/>
        </w:rPr>
        <w:t>8. 设备第一次在招标人组装、试运转时中标人必须派设备制造工厂技术服务工程师在规定时间内到现场进行技术指导。因技术服务工程师未按时到达组装现场导致设备不能按期投入使用，延误时间按推迟交货期来计算。</w:t>
      </w:r>
    </w:p>
    <w:p>
      <w:pPr>
        <w:adjustRightInd w:val="0"/>
        <w:snapToGrid w:val="0"/>
        <w:spacing w:line="360" w:lineRule="auto"/>
        <w:ind w:firstLine="210" w:firstLineChars="100"/>
        <w:rPr>
          <w:rFonts w:ascii="宋体" w:hAnsi="宋体"/>
          <w:szCs w:val="21"/>
        </w:rPr>
      </w:pPr>
    </w:p>
    <w:p>
      <w:pPr>
        <w:pStyle w:val="13"/>
        <w:jc w:val="center"/>
      </w:pPr>
      <w:bookmarkStart w:id="6" w:name="_Toc357086146"/>
      <w:r>
        <w:rPr>
          <w:rFonts w:hint="eastAsia"/>
        </w:rPr>
        <w:t>第五节 安装、检验、调试、试运行及验收</w:t>
      </w:r>
      <w:bookmarkEnd w:id="6"/>
    </w:p>
    <w:p>
      <w:pPr>
        <w:adjustRightInd w:val="0"/>
        <w:snapToGrid w:val="0"/>
        <w:spacing w:line="360" w:lineRule="auto"/>
        <w:jc w:val="center"/>
        <w:rPr>
          <w:rFonts w:ascii="宋体" w:hAnsi="宋体"/>
          <w:szCs w:val="21"/>
        </w:rPr>
      </w:pPr>
    </w:p>
    <w:p>
      <w:pPr>
        <w:adjustRightInd w:val="0"/>
        <w:snapToGrid w:val="0"/>
        <w:spacing w:line="360" w:lineRule="auto"/>
        <w:ind w:firstLine="210" w:firstLineChars="100"/>
        <w:rPr>
          <w:rFonts w:ascii="宋体" w:hAnsi="宋体"/>
          <w:szCs w:val="21"/>
        </w:rPr>
      </w:pPr>
      <w:r>
        <w:rPr>
          <w:rFonts w:hint="eastAsia" w:ascii="宋体" w:hAnsi="宋体"/>
          <w:szCs w:val="21"/>
        </w:rPr>
        <w:t>1. 在该附录中：</w:t>
      </w:r>
    </w:p>
    <w:p>
      <w:pPr>
        <w:adjustRightInd w:val="0"/>
        <w:snapToGrid w:val="0"/>
        <w:spacing w:line="360" w:lineRule="auto"/>
        <w:ind w:firstLine="210" w:firstLineChars="100"/>
        <w:rPr>
          <w:rFonts w:ascii="宋体" w:hAnsi="宋体"/>
          <w:szCs w:val="21"/>
        </w:rPr>
      </w:pPr>
      <w:r>
        <w:rPr>
          <w:rFonts w:hint="eastAsia" w:ascii="宋体" w:hAnsi="宋体"/>
          <w:szCs w:val="21"/>
        </w:rPr>
        <w:t>安装：意为招标人安装人员在中标人的服务工程人员的监督与指导下，将整套设备或一个系统安装起来。</w:t>
      </w:r>
    </w:p>
    <w:p>
      <w:pPr>
        <w:adjustRightInd w:val="0"/>
        <w:snapToGrid w:val="0"/>
        <w:spacing w:line="360" w:lineRule="auto"/>
        <w:ind w:firstLine="210" w:firstLineChars="100"/>
        <w:rPr>
          <w:rFonts w:ascii="宋体" w:hAnsi="宋体"/>
          <w:szCs w:val="21"/>
        </w:rPr>
      </w:pPr>
      <w:r>
        <w:rPr>
          <w:rFonts w:hint="eastAsia" w:ascii="宋体" w:hAnsi="宋体"/>
          <w:szCs w:val="21"/>
        </w:rPr>
        <w:t>试运转：即为在空载条件下测试该设备。</w:t>
      </w:r>
    </w:p>
    <w:p>
      <w:pPr>
        <w:adjustRightInd w:val="0"/>
        <w:snapToGrid w:val="0"/>
        <w:spacing w:line="360" w:lineRule="auto"/>
        <w:ind w:firstLine="210" w:firstLineChars="100"/>
        <w:rPr>
          <w:rFonts w:ascii="宋体" w:hAnsi="宋体"/>
          <w:szCs w:val="21"/>
        </w:rPr>
      </w:pPr>
      <w:r>
        <w:rPr>
          <w:rFonts w:hint="eastAsia" w:ascii="宋体" w:hAnsi="宋体"/>
          <w:szCs w:val="21"/>
        </w:rPr>
        <w:t xml:space="preserve">性能调试：即在它们的额定负载下测试设备，检查其是否能达到合同规定的所有技术性能。 </w:t>
      </w:r>
    </w:p>
    <w:p>
      <w:pPr>
        <w:adjustRightInd w:val="0"/>
        <w:snapToGrid w:val="0"/>
        <w:spacing w:line="360" w:lineRule="auto"/>
        <w:ind w:firstLine="210" w:firstLineChars="100"/>
        <w:rPr>
          <w:rFonts w:ascii="宋体" w:hAnsi="宋体"/>
          <w:szCs w:val="21"/>
        </w:rPr>
      </w:pPr>
      <w:r>
        <w:rPr>
          <w:rFonts w:hint="eastAsia" w:ascii="宋体" w:hAnsi="宋体"/>
          <w:szCs w:val="21"/>
        </w:rPr>
        <w:t>试运行：即为设备按照合同要求性能投入运转。</w:t>
      </w:r>
    </w:p>
    <w:p>
      <w:pPr>
        <w:adjustRightInd w:val="0"/>
        <w:snapToGrid w:val="0"/>
        <w:spacing w:line="360" w:lineRule="auto"/>
        <w:ind w:firstLine="210" w:firstLineChars="100"/>
        <w:rPr>
          <w:rFonts w:ascii="宋体" w:hAnsi="宋体"/>
          <w:szCs w:val="21"/>
        </w:rPr>
      </w:pPr>
      <w:r>
        <w:rPr>
          <w:rFonts w:hint="eastAsia" w:ascii="宋体" w:hAnsi="宋体"/>
          <w:szCs w:val="21"/>
        </w:rPr>
        <w:t>验收：即为该设备达到合同规定的试运转、性能调试和试运行技术要求后招标人正式接收。</w:t>
      </w:r>
    </w:p>
    <w:p>
      <w:pPr>
        <w:adjustRightInd w:val="0"/>
        <w:snapToGrid w:val="0"/>
        <w:spacing w:line="360" w:lineRule="auto"/>
        <w:ind w:firstLine="210" w:firstLineChars="100"/>
        <w:rPr>
          <w:rFonts w:ascii="宋体" w:hAnsi="宋体"/>
          <w:szCs w:val="21"/>
        </w:rPr>
      </w:pPr>
      <w:r>
        <w:rPr>
          <w:rFonts w:hint="eastAsia" w:ascii="宋体" w:hAnsi="宋体"/>
          <w:szCs w:val="21"/>
        </w:rPr>
        <w:t>2. 设备到货应随机提供出厂验收报告。</w:t>
      </w:r>
    </w:p>
    <w:p>
      <w:pPr>
        <w:adjustRightInd w:val="0"/>
        <w:snapToGrid w:val="0"/>
        <w:spacing w:line="360" w:lineRule="auto"/>
        <w:ind w:firstLine="210" w:firstLineChars="100"/>
        <w:rPr>
          <w:rFonts w:ascii="宋体" w:hAnsi="宋体"/>
          <w:szCs w:val="21"/>
        </w:rPr>
      </w:pPr>
      <w:r>
        <w:rPr>
          <w:rFonts w:hint="eastAsia" w:ascii="宋体" w:hAnsi="宋体"/>
          <w:szCs w:val="21"/>
        </w:rPr>
        <w:t>3． 在设备经过试运转、性能调试、试运行之后，双方对设备性能进行鉴定，符合合同要求，招标人出据验收证明并由中标人确认。验收标准为合同规定的要求和相关标准、中国国家标准、规范以及国际标准和双方认可的标准。</w:t>
      </w:r>
    </w:p>
    <w:p>
      <w:pPr>
        <w:adjustRightInd w:val="0"/>
        <w:snapToGrid w:val="0"/>
        <w:spacing w:line="360" w:lineRule="auto"/>
        <w:ind w:firstLine="210" w:firstLineChars="100"/>
        <w:rPr>
          <w:rFonts w:ascii="宋体" w:hAnsi="宋体"/>
          <w:szCs w:val="21"/>
        </w:rPr>
      </w:pPr>
      <w:r>
        <w:rPr>
          <w:rFonts w:hint="eastAsia" w:ascii="宋体" w:hAnsi="宋体"/>
          <w:szCs w:val="21"/>
        </w:rPr>
        <w:t>4.包装：必须按照双方约定的包装要求包装，如无约定的要按照中国国家标准、规范以及国际标准和双方认可的标准进行包装。</w:t>
      </w:r>
    </w:p>
    <w:p>
      <w:pPr>
        <w:adjustRightInd w:val="0"/>
        <w:snapToGrid w:val="0"/>
        <w:spacing w:line="360" w:lineRule="auto"/>
        <w:ind w:firstLine="210" w:firstLineChars="100"/>
        <w:rPr>
          <w:rFonts w:ascii="宋体" w:hAnsi="宋体"/>
          <w:szCs w:val="21"/>
        </w:rPr>
      </w:pPr>
    </w:p>
    <w:p>
      <w:pPr>
        <w:pStyle w:val="13"/>
        <w:jc w:val="center"/>
      </w:pPr>
      <w:bookmarkStart w:id="7" w:name="_Toc357086147"/>
      <w:r>
        <w:rPr>
          <w:rFonts w:hint="eastAsia"/>
        </w:rPr>
        <w:t>第六节 质量保证</w:t>
      </w:r>
      <w:bookmarkEnd w:id="7"/>
    </w:p>
    <w:p>
      <w:pPr>
        <w:adjustRightInd w:val="0"/>
        <w:snapToGrid w:val="0"/>
        <w:spacing w:line="360" w:lineRule="auto"/>
        <w:jc w:val="center"/>
        <w:rPr>
          <w:rFonts w:ascii="宋体" w:hAnsi="宋体"/>
          <w:szCs w:val="21"/>
        </w:rPr>
      </w:pPr>
    </w:p>
    <w:p>
      <w:pPr>
        <w:adjustRightInd w:val="0"/>
        <w:snapToGrid w:val="0"/>
        <w:spacing w:line="360" w:lineRule="auto"/>
        <w:ind w:firstLine="210" w:firstLineChars="100"/>
        <w:rPr>
          <w:rFonts w:ascii="宋体" w:hAnsi="宋体"/>
          <w:szCs w:val="21"/>
        </w:rPr>
      </w:pPr>
      <w:r>
        <w:rPr>
          <w:rFonts w:hint="eastAsia" w:ascii="宋体" w:hAnsi="宋体"/>
          <w:szCs w:val="21"/>
        </w:rPr>
        <w:t>1. 质保期应为最终验收合格后12个月。对由于设计或质量问题而引起的设备故障，中标方应进一步对此负责。专用合同条款对质保有特殊规定的从其规定。</w:t>
      </w:r>
    </w:p>
    <w:p>
      <w:pPr>
        <w:adjustRightInd w:val="0"/>
        <w:snapToGrid w:val="0"/>
        <w:spacing w:line="360" w:lineRule="auto"/>
        <w:ind w:firstLine="210" w:firstLineChars="100"/>
        <w:rPr>
          <w:rFonts w:ascii="宋体" w:hAnsi="宋体"/>
          <w:szCs w:val="21"/>
        </w:rPr>
      </w:pPr>
      <w:r>
        <w:rPr>
          <w:rFonts w:hint="eastAsia" w:ascii="宋体" w:hAnsi="宋体"/>
          <w:szCs w:val="21"/>
        </w:rPr>
        <w:t>2. 中标方应有质保期内的维修服务承诺，无偿更换零配件、部件承诺。</w:t>
      </w:r>
    </w:p>
    <w:p>
      <w:pPr>
        <w:adjustRightInd w:val="0"/>
        <w:snapToGrid w:val="0"/>
        <w:spacing w:line="360" w:lineRule="auto"/>
        <w:ind w:firstLine="210" w:firstLineChars="100"/>
        <w:rPr>
          <w:rFonts w:ascii="宋体" w:hAnsi="宋体"/>
          <w:szCs w:val="21"/>
        </w:rPr>
      </w:pPr>
      <w:r>
        <w:rPr>
          <w:rFonts w:hint="eastAsia" w:ascii="宋体" w:hAnsi="宋体"/>
          <w:szCs w:val="21"/>
        </w:rPr>
        <w:t>3. 中标方应有对设备大修周期、使用寿命及各主要部件的寿命承诺。</w:t>
      </w:r>
    </w:p>
    <w:p>
      <w:pPr>
        <w:adjustRightInd w:val="0"/>
        <w:snapToGrid w:val="0"/>
        <w:spacing w:line="360" w:lineRule="auto"/>
        <w:ind w:firstLine="210" w:firstLineChars="100"/>
        <w:rPr>
          <w:rFonts w:ascii="宋体" w:hAnsi="宋体"/>
          <w:szCs w:val="21"/>
        </w:rPr>
      </w:pPr>
    </w:p>
    <w:p>
      <w:pPr>
        <w:pStyle w:val="14"/>
        <w:adjustRightInd w:val="0"/>
        <w:snapToGrid w:val="0"/>
        <w:spacing w:line="360" w:lineRule="auto"/>
        <w:ind w:left="426" w:leftChars="202" w:hanging="2" w:firstLineChars="0"/>
        <w:rPr>
          <w:rFonts w:ascii="宋体" w:hAnsi="宋体"/>
          <w:szCs w:val="21"/>
        </w:rPr>
      </w:pPr>
    </w:p>
    <w:p>
      <w:pPr>
        <w:pStyle w:val="13"/>
        <w:jc w:val="center"/>
      </w:pPr>
      <w:bookmarkStart w:id="8" w:name="_Toc357086148"/>
      <w:r>
        <w:rPr>
          <w:rFonts w:hint="eastAsia"/>
        </w:rPr>
        <w:t>第七节 技术资料和图纸</w:t>
      </w:r>
      <w:bookmarkEnd w:id="8"/>
    </w:p>
    <w:p>
      <w:pPr>
        <w:adjustRightInd w:val="0"/>
        <w:snapToGrid w:val="0"/>
        <w:spacing w:beforeLines="50" w:line="360" w:lineRule="auto"/>
        <w:ind w:left="283" w:hanging="283" w:hangingChars="135"/>
        <w:rPr>
          <w:rFonts w:ascii="宋体" w:hAnsi="宋体"/>
          <w:szCs w:val="21"/>
        </w:rPr>
      </w:pPr>
    </w:p>
    <w:p>
      <w:pPr>
        <w:adjustRightInd w:val="0"/>
        <w:snapToGrid w:val="0"/>
        <w:spacing w:line="360" w:lineRule="auto"/>
        <w:ind w:firstLine="210" w:firstLineChars="100"/>
        <w:rPr>
          <w:rFonts w:ascii="宋体" w:hAnsi="宋体"/>
          <w:szCs w:val="21"/>
        </w:rPr>
      </w:pPr>
      <w:r>
        <w:rPr>
          <w:rFonts w:hint="eastAsia" w:ascii="宋体" w:hAnsi="宋体"/>
          <w:szCs w:val="21"/>
        </w:rPr>
        <w:t>1. 中标人按规定给招标人提供全面的、详细的技术资料，包括印刷版和电子版的各种图纸、设备使用手册、维修手册、备件手册、配件报价CD光盘，随设备发货或日后提供的目录、图纸、图解说明或电路图必须是清晰易解的。操作手册和维修指南须通俗易懂。备件手册必须将每一部件细化到所有零件，所有零部件必须有统一的采购号或件号等唯一标识号，以便于招标人维护和采购备件。所有外协件的件号必须提供制造商原始件号。所有提供的技术资料手册封面应标明合同号、设备系列号。</w:t>
      </w:r>
    </w:p>
    <w:p>
      <w:pPr>
        <w:adjustRightInd w:val="0"/>
        <w:snapToGrid w:val="0"/>
        <w:spacing w:line="360" w:lineRule="auto"/>
        <w:ind w:firstLine="210" w:firstLineChars="100"/>
        <w:rPr>
          <w:rFonts w:ascii="宋体" w:hAnsi="宋体"/>
          <w:szCs w:val="21"/>
        </w:rPr>
      </w:pPr>
      <w:r>
        <w:rPr>
          <w:rFonts w:hint="eastAsia" w:ascii="宋体" w:hAnsi="宋体"/>
          <w:szCs w:val="21"/>
        </w:rPr>
        <w:t>2. 中标人按规定给招标人每台（</w:t>
      </w:r>
      <w:r>
        <w:rPr>
          <w:rFonts w:hint="eastAsia" w:ascii="宋体" w:hAnsi="宋体"/>
          <w:szCs w:val="21"/>
          <w:highlight w:val="yellow"/>
        </w:rPr>
        <w:t>套）设备提供   份技术文件和</w:t>
      </w:r>
      <w:r>
        <w:rPr>
          <w:rFonts w:hint="eastAsia" w:ascii="宋体" w:hAnsi="宋体"/>
          <w:szCs w:val="21"/>
        </w:rPr>
        <w:t>图纸的副本。其中两份副本包括1份光盘文件将在设备发货前的14天，以特快专递方式寄送给招标人，其他所要求的成套技术文件和图纸将随合同中设备一起发货，招标人有权针对培训目的而额外复制所提供的技术文件与图纸。</w:t>
      </w:r>
    </w:p>
    <w:p>
      <w:pPr>
        <w:adjustRightInd w:val="0"/>
        <w:snapToGrid w:val="0"/>
        <w:spacing w:line="360" w:lineRule="auto"/>
        <w:ind w:firstLine="210" w:firstLineChars="100"/>
        <w:rPr>
          <w:rFonts w:ascii="宋体" w:hAnsi="宋体"/>
          <w:szCs w:val="21"/>
        </w:rPr>
      </w:pPr>
      <w:r>
        <w:rPr>
          <w:rFonts w:hint="eastAsia" w:ascii="宋体" w:hAnsi="宋体"/>
          <w:szCs w:val="21"/>
        </w:rPr>
        <w:t>3. 如果中标人交付的技术文件和图纸不完整、丢失或损坏，中标人在接到招标人索要不完整、丢失或损坏部分的技术文件和图纸的通知后的30天内,应免费向招标人增补丢失或损坏部分的技术文件与图纸。</w:t>
      </w:r>
    </w:p>
    <w:p>
      <w:pPr>
        <w:adjustRightInd w:val="0"/>
        <w:snapToGrid w:val="0"/>
        <w:spacing w:line="360" w:lineRule="auto"/>
        <w:ind w:firstLine="210" w:firstLineChars="100"/>
        <w:rPr>
          <w:rFonts w:ascii="宋体" w:hAnsi="宋体"/>
          <w:szCs w:val="21"/>
        </w:rPr>
      </w:pPr>
      <w:r>
        <w:rPr>
          <w:rFonts w:hint="eastAsia" w:ascii="宋体" w:hAnsi="宋体"/>
          <w:szCs w:val="21"/>
        </w:rPr>
        <w:t>4. 中标人有义务对该设备的控制软件、管理软件进行免费升级换代。</w:t>
      </w:r>
    </w:p>
    <w:p>
      <w:pPr>
        <w:adjustRightInd w:val="0"/>
        <w:snapToGrid w:val="0"/>
        <w:spacing w:line="360" w:lineRule="auto"/>
        <w:ind w:firstLine="210" w:firstLineChars="100"/>
        <w:rPr>
          <w:rFonts w:ascii="宋体" w:hAnsi="宋体"/>
          <w:szCs w:val="21"/>
        </w:rPr>
      </w:pPr>
      <w:r>
        <w:rPr>
          <w:rFonts w:hint="eastAsia" w:ascii="宋体" w:hAnsi="宋体"/>
          <w:szCs w:val="21"/>
        </w:rPr>
        <w:t>5. 中标人定期对设备进行回访，并对用户提出的问题进行解决。</w:t>
      </w:r>
    </w:p>
    <w:p>
      <w:pPr>
        <w:adjustRightInd w:val="0"/>
        <w:snapToGrid w:val="0"/>
        <w:spacing w:line="360" w:lineRule="auto"/>
        <w:ind w:firstLine="210" w:firstLineChars="100"/>
        <w:rPr>
          <w:rFonts w:ascii="宋体" w:hAnsi="宋体"/>
          <w:szCs w:val="21"/>
        </w:rPr>
      </w:pPr>
      <w:r>
        <w:rPr>
          <w:rFonts w:hint="eastAsia" w:ascii="宋体" w:hAnsi="宋体"/>
          <w:szCs w:val="21"/>
        </w:rPr>
        <w:t>6. 中标人要提供下列相关的技术资料及图纸：</w:t>
      </w:r>
    </w:p>
    <w:p>
      <w:pPr>
        <w:adjustRightInd w:val="0"/>
        <w:snapToGrid w:val="0"/>
        <w:spacing w:line="360" w:lineRule="auto"/>
        <w:ind w:firstLine="210" w:firstLineChars="100"/>
        <w:rPr>
          <w:rFonts w:ascii="宋体" w:hAnsi="宋体"/>
          <w:szCs w:val="21"/>
        </w:rPr>
      </w:pPr>
      <w:r>
        <w:rPr>
          <w:rFonts w:hint="eastAsia" w:ascii="宋体" w:hAnsi="宋体"/>
          <w:szCs w:val="21"/>
        </w:rPr>
        <w:t>总图及安装基础图</w:t>
      </w:r>
    </w:p>
    <w:p>
      <w:pPr>
        <w:adjustRightInd w:val="0"/>
        <w:snapToGrid w:val="0"/>
        <w:spacing w:line="360" w:lineRule="auto"/>
        <w:ind w:firstLine="210" w:firstLineChars="100"/>
        <w:rPr>
          <w:rFonts w:ascii="宋体" w:hAnsi="宋体"/>
          <w:szCs w:val="21"/>
        </w:rPr>
      </w:pPr>
      <w:r>
        <w:rPr>
          <w:rFonts w:hint="eastAsia" w:ascii="宋体" w:hAnsi="宋体"/>
          <w:szCs w:val="21"/>
        </w:rPr>
        <w:t>制造标准、防爆标准</w:t>
      </w:r>
    </w:p>
    <w:p>
      <w:pPr>
        <w:adjustRightInd w:val="0"/>
        <w:snapToGrid w:val="0"/>
        <w:spacing w:line="360" w:lineRule="auto"/>
        <w:ind w:firstLine="210" w:firstLineChars="100"/>
        <w:rPr>
          <w:rFonts w:ascii="宋体" w:hAnsi="宋体"/>
          <w:szCs w:val="21"/>
        </w:rPr>
      </w:pPr>
      <w:r>
        <w:rPr>
          <w:rFonts w:hint="eastAsia" w:ascii="宋体" w:hAnsi="宋体"/>
          <w:szCs w:val="21"/>
        </w:rPr>
        <w:t>完整的技术特征及说明书</w:t>
      </w:r>
    </w:p>
    <w:p>
      <w:pPr>
        <w:adjustRightInd w:val="0"/>
        <w:snapToGrid w:val="0"/>
        <w:spacing w:line="360" w:lineRule="auto"/>
        <w:ind w:firstLine="210" w:firstLineChars="100"/>
        <w:rPr>
          <w:rFonts w:ascii="宋体" w:hAnsi="宋体"/>
          <w:szCs w:val="21"/>
        </w:rPr>
      </w:pPr>
      <w:r>
        <w:rPr>
          <w:rFonts w:hint="eastAsia" w:ascii="宋体" w:hAnsi="宋体"/>
          <w:szCs w:val="21"/>
        </w:rPr>
        <w:t>全部机电图纸、材料清册、所有设备、元件、部件型号、规格、特性曲线、产品检验合格证及出厂日期。</w:t>
      </w:r>
    </w:p>
    <w:p>
      <w:pPr>
        <w:adjustRightInd w:val="0"/>
        <w:snapToGrid w:val="0"/>
        <w:spacing w:line="360" w:lineRule="auto"/>
        <w:ind w:firstLine="210" w:firstLineChars="100"/>
        <w:rPr>
          <w:rFonts w:ascii="宋体" w:hAnsi="宋体"/>
          <w:szCs w:val="21"/>
        </w:rPr>
      </w:pPr>
      <w:r>
        <w:rPr>
          <w:rFonts w:hint="eastAsia" w:ascii="宋体" w:hAnsi="宋体"/>
          <w:szCs w:val="21"/>
        </w:rPr>
        <w:t>7. 技术资料与设备同属合同供货范围，如不能按照上述条款交货，将按照推迟合同交货期执行。</w:t>
      </w:r>
    </w:p>
    <w:p>
      <w:pPr>
        <w:rPr>
          <w:color w:val="auto"/>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endnote>
  <w:endnote w:type="continuationSeparator" w:id="1">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2AFF" w:usb1="C000247B" w:usb2="00000009" w:usb3="00000000" w:csb0="200001FF" w:csb1="00000000"/>
  </w:font>
  <w:font w:name="Courier New">
    <w:panose1 w:val="02070309020205020404"/>
    <w:charset w:val="00"/>
    <w:family w:val="modern"/>
    <w:pitch w:val="default"/>
    <w:sig w:usb0="E0002EFF" w:usb1="C0007843" w:usb2="00000009" w:usb3="00000000" w:csb0="400001FF" w:csb1="FFFF0000"/>
  </w:font>
  <w:font w:name="Arial">
    <w:panose1 w:val="020B0604020202020204"/>
    <w:charset w:val="00"/>
    <w:family w:val="swiss"/>
    <w:pitch w:val="default"/>
    <w:sig w:usb0="E0002EFF" w:usb1="C0007843" w:usb2="00000009" w:usb3="00000000" w:csb0="400001FF" w:csb1="FFFF0000"/>
  </w:font>
  <w:font w:name="微软雅黑">
    <w:panose1 w:val="020B0503020204020204"/>
    <w:charset w:val="86"/>
    <w:family w:val="swiss"/>
    <w:pitch w:val="default"/>
    <w:sig w:usb0="80000287" w:usb1="28CF3C50" w:usb2="00000016" w:usb3="00000000" w:csb0="0004001F" w:csb1="00000000"/>
  </w:font>
  <w:font w:name="Calibri Light">
    <w:panose1 w:val="020F0302020204030204"/>
    <w:charset w:val="00"/>
    <w:family w:val="swiss"/>
    <w:pitch w:val="default"/>
    <w:sig w:usb0="E0002AFF" w:usb1="C000247B" w:usb2="00000009" w:usb3="00000000" w:csb0="200001FF" w:csb1="00000000"/>
  </w:font>
  <w:font w:name="Tahoma">
    <w:panose1 w:val="020B0604030504040204"/>
    <w:charset w:val="00"/>
    <w:family w:val="auto"/>
    <w:pitch w:val="default"/>
    <w:sig w:usb0="E1002EFF" w:usb1="C000605B" w:usb2="00000029" w:usb3="00000000" w:csb0="200101FF" w:csb1="20280000"/>
  </w:font>
  <w:font w:name="Arial Unicode MS">
    <w:panose1 w:val="020B0604020202020204"/>
    <w:charset w:val="86"/>
    <w:family w:val="swiss"/>
    <w:pitch w:val="default"/>
    <w:sig w:usb0="FFFFFFFF" w:usb1="E9FFFFFF" w:usb2="0000003F" w:usb3="00000000" w:csb0="603F01FF" w:csb1="FFFF0000"/>
  </w:font>
  <w:font w:name="方正小标宋简体">
    <w:altName w:val="宋体"/>
    <w:panose1 w:val="00000000000000000000"/>
    <w:charset w:val="86"/>
    <w:family w:val="roman"/>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华文细黑">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 w:name="等线">
    <w:panose1 w:val="02010600030101010101"/>
    <w:charset w:val="86"/>
    <w:family w:val="swiss"/>
    <w:pitch w:val="default"/>
    <w:sig w:usb0="A00002BF" w:usb1="38CF7CFA" w:usb2="00000016" w:usb3="00000000" w:csb0="0004000F" w:csb1="00000000"/>
  </w:font>
  <w:font w:name="华文楷体">
    <w:panose1 w:val="02010600040101010101"/>
    <w:charset w:val="86"/>
    <w:family w:val="auto"/>
    <w:pitch w:val="default"/>
    <w:sig w:usb0="00000287" w:usb1="080F0000" w:usb2="00000000" w:usb3="00000000" w:csb0="0004009F" w:csb1="DFD70000"/>
  </w:font>
  <w:font w:name="Book Antiqua">
    <w:panose1 w:val="02040602050305030304"/>
    <w:charset w:val="00"/>
    <w:family w:val="roman"/>
    <w:pitch w:val="default"/>
    <w:sig w:usb0="00000287" w:usb1="00000000" w:usb2="00000000" w:usb3="00000000" w:csb0="2000009F" w:csb1="DFD70000"/>
  </w:font>
  <w:font w:name="新宋体">
    <w:panose1 w:val="02010609030101010101"/>
    <w:charset w:val="86"/>
    <w:family w:val="modern"/>
    <w:pitch w:val="default"/>
    <w:sig w:usb0="00000003" w:usb1="288F0000" w:usb2="0000000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Tms Rmn">
    <w:altName w:val="Segoe Print"/>
    <w:panose1 w:val="02020603040505020304"/>
    <w:charset w:val="00"/>
    <w:family w:val="roman"/>
    <w:pitch w:val="default"/>
    <w:sig w:usb0="00000000" w:usb1="00000000" w:usb2="00000000" w:usb3="00000000" w:csb0="00000001" w:csb1="00000000"/>
  </w:font>
  <w:font w:name="Courier">
    <w:altName w:val="Courier New"/>
    <w:panose1 w:val="02070409020205020404"/>
    <w:charset w:val="00"/>
    <w:family w:val="modern"/>
    <w:pitch w:val="default"/>
    <w:sig w:usb0="00000000" w:usb1="00000000" w:usb2="00000000" w:usb3="00000000" w:csb0="00000001" w:csb1="00000000"/>
  </w:font>
  <w:font w:name="华文中宋">
    <w:panose1 w:val="02010600040101010101"/>
    <w:charset w:val="86"/>
    <w:family w:val="auto"/>
    <w:pitch w:val="default"/>
    <w:sig w:usb0="00000287" w:usb1="080F0000" w:usb2="00000000" w:usb3="00000000" w:csb0="0004009F" w:csb1="DFD70000"/>
  </w:font>
  <w:font w:name="Futura Bk">
    <w:altName w:val="Arial"/>
    <w:panose1 w:val="00000000000000000000"/>
    <w:charset w:val="00"/>
    <w:family w:val="swiss"/>
    <w:pitch w:val="default"/>
    <w:sig w:usb0="00000000" w:usb1="00000000" w:usb2="00000000" w:usb3="00000000" w:csb0="0000009F" w:csb1="00000000"/>
  </w:font>
  <w:font w:name="Segoe Print">
    <w:panose1 w:val="02000600000000000000"/>
    <w:charset w:val="00"/>
    <w:family w:val="auto"/>
    <w:pitch w:val="default"/>
    <w:sig w:usb0="0000028F" w:usb1="00000000" w:usb2="00000000" w:usb3="00000000" w:csb0="2000009F" w:csb1="47010000"/>
  </w:font>
  <w:font w:name="楷体">
    <w:panose1 w:val="02010609060101010101"/>
    <w:charset w:val="86"/>
    <w:family w:val="auto"/>
    <w:pitch w:val="default"/>
    <w:sig w:usb0="800002BF" w:usb1="38CF7CFA" w:usb2="00000016" w:usb3="00000000" w:csb0="00040001" w:csb1="00000000"/>
  </w:font>
  <w:font w:name="Verdana">
    <w:panose1 w:val="020B0604030504040204"/>
    <w:charset w:val="00"/>
    <w:family w:val="swiss"/>
    <w:pitch w:val="default"/>
    <w:sig w:usb0="A10006FF" w:usb1="4000205B" w:usb2="00000010" w:usb3="00000000" w:csb0="2000019F" w:csb1="00000000"/>
  </w:font>
  <w:font w:name="Gungsuh">
    <w:altName w:val="Malgun Gothic"/>
    <w:panose1 w:val="02030600000101010101"/>
    <w:charset w:val="81"/>
    <w:family w:val="auto"/>
    <w:pitch w:val="default"/>
    <w:sig w:usb0="00000000" w:usb1="00000000" w:usb2="00000030" w:usb3="00000000" w:csb0="4008009F" w:csb1="DFD70000"/>
  </w:font>
  <w:font w:name="GulimChe">
    <w:altName w:val="Malgun Gothic"/>
    <w:panose1 w:val="020B0609000101010101"/>
    <w:charset w:val="81"/>
    <w:family w:val="auto"/>
    <w:pitch w:val="default"/>
    <w:sig w:usb0="00000000" w:usb1="00000000" w:usb2="00000030" w:usb3="00000000" w:csb0="4008009F" w:csb1="DFD70000"/>
  </w:font>
  <w:font w:name="BatangChe">
    <w:altName w:val="Malgun Gothic"/>
    <w:panose1 w:val="02030609000101010101"/>
    <w:charset w:val="81"/>
    <w:family w:val="auto"/>
    <w:pitch w:val="default"/>
    <w:sig w:usb0="00000000" w:usb1="00000000" w:usb2="00000030" w:usb3="00000000" w:csb0="4008009F" w:csb1="DFD70000"/>
  </w:font>
  <w:font w:name="Batang">
    <w:altName w:val="Malgun Gothic"/>
    <w:panose1 w:val="02030600000101010101"/>
    <w:charset w:val="81"/>
    <w:family w:val="auto"/>
    <w:pitch w:val="default"/>
    <w:sig w:usb0="00000000" w:usb1="00000000" w:usb2="00000030" w:usb3="00000000" w:csb0="4008009F" w:csb1="DFD70000"/>
  </w:font>
  <w:font w:name="DFKai-SB">
    <w:altName w:val="MingLiU-ExtB"/>
    <w:panose1 w:val="03000509000000000000"/>
    <w:charset w:val="88"/>
    <w:family w:val="auto"/>
    <w:pitch w:val="default"/>
    <w:sig w:usb0="00000000" w:usb1="00000000" w:usb2="00000016" w:usb3="00000000" w:csb0="00100001" w:csb1="00000000"/>
  </w:font>
  <w:font w:name="Malgun Gothic">
    <w:panose1 w:val="020B0503020000020004"/>
    <w:charset w:val="81"/>
    <w:family w:val="auto"/>
    <w:pitch w:val="default"/>
    <w:sig w:usb0="9000002F" w:usb1="29D77CFB" w:usb2="00000012" w:usb3="00000000" w:csb0="00080001" w:csb1="00000000"/>
  </w:font>
  <w:font w:name="MingLiU-ExtB">
    <w:panose1 w:val="02020500000000000000"/>
    <w:charset w:val="88"/>
    <w:family w:val="auto"/>
    <w:pitch w:val="default"/>
    <w:sig w:usb0="8000002F" w:usb1="02000008" w:usb2="00000000"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footnote>
  <w:footnote w:type="continuationSeparator" w:id="1">
    <w:p>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717A"/>
    <w:rsid w:val="00001EE9"/>
    <w:rsid w:val="00036268"/>
    <w:rsid w:val="000F21DA"/>
    <w:rsid w:val="001036E4"/>
    <w:rsid w:val="00126600"/>
    <w:rsid w:val="001B4A17"/>
    <w:rsid w:val="00236315"/>
    <w:rsid w:val="003A3948"/>
    <w:rsid w:val="003A657A"/>
    <w:rsid w:val="00403255"/>
    <w:rsid w:val="005372A9"/>
    <w:rsid w:val="00567974"/>
    <w:rsid w:val="00584D65"/>
    <w:rsid w:val="00594C79"/>
    <w:rsid w:val="005B443F"/>
    <w:rsid w:val="006463AE"/>
    <w:rsid w:val="00674CDB"/>
    <w:rsid w:val="006E0DA3"/>
    <w:rsid w:val="007A27C4"/>
    <w:rsid w:val="007C0806"/>
    <w:rsid w:val="007C7CFC"/>
    <w:rsid w:val="007E5E49"/>
    <w:rsid w:val="0087717A"/>
    <w:rsid w:val="008B4592"/>
    <w:rsid w:val="008C1621"/>
    <w:rsid w:val="00924277"/>
    <w:rsid w:val="009E0BED"/>
    <w:rsid w:val="00A4609D"/>
    <w:rsid w:val="00A64CCA"/>
    <w:rsid w:val="00A96F3B"/>
    <w:rsid w:val="00B0129D"/>
    <w:rsid w:val="00B36371"/>
    <w:rsid w:val="00B53C83"/>
    <w:rsid w:val="00B71ADC"/>
    <w:rsid w:val="00BA7D1C"/>
    <w:rsid w:val="00C1640C"/>
    <w:rsid w:val="00C319C5"/>
    <w:rsid w:val="00C7264C"/>
    <w:rsid w:val="00CA648B"/>
    <w:rsid w:val="00D2440F"/>
    <w:rsid w:val="00DE2D10"/>
    <w:rsid w:val="00E2250F"/>
    <w:rsid w:val="00E341C3"/>
    <w:rsid w:val="00E5742D"/>
    <w:rsid w:val="00E86F9A"/>
    <w:rsid w:val="00EE119D"/>
    <w:rsid w:val="00F062E9"/>
    <w:rsid w:val="00F2312D"/>
    <w:rsid w:val="00FA740C"/>
    <w:rsid w:val="00FB2FBF"/>
    <w:rsid w:val="00FE0615"/>
    <w:rsid w:val="00FF5DD0"/>
    <w:rsid w:val="020C601B"/>
    <w:rsid w:val="03353FBF"/>
    <w:rsid w:val="05D6446C"/>
    <w:rsid w:val="06FE22B8"/>
    <w:rsid w:val="08084472"/>
    <w:rsid w:val="08112123"/>
    <w:rsid w:val="083C242E"/>
    <w:rsid w:val="085A3DF2"/>
    <w:rsid w:val="08B97E3C"/>
    <w:rsid w:val="09792953"/>
    <w:rsid w:val="09CF2DD3"/>
    <w:rsid w:val="0A17596B"/>
    <w:rsid w:val="0B0A5D49"/>
    <w:rsid w:val="0C780293"/>
    <w:rsid w:val="0CA53FA2"/>
    <w:rsid w:val="0D120FBA"/>
    <w:rsid w:val="0D20013B"/>
    <w:rsid w:val="0D5E1B2D"/>
    <w:rsid w:val="0DAC4A00"/>
    <w:rsid w:val="0E2F4834"/>
    <w:rsid w:val="0E3928A5"/>
    <w:rsid w:val="0E595C6A"/>
    <w:rsid w:val="0EAC2D6F"/>
    <w:rsid w:val="0ED03E88"/>
    <w:rsid w:val="10A37CB0"/>
    <w:rsid w:val="110A270B"/>
    <w:rsid w:val="11B253D8"/>
    <w:rsid w:val="11C93008"/>
    <w:rsid w:val="12941C81"/>
    <w:rsid w:val="12EF5BFE"/>
    <w:rsid w:val="12FA7C0B"/>
    <w:rsid w:val="13695BFE"/>
    <w:rsid w:val="139D5B72"/>
    <w:rsid w:val="13B6206D"/>
    <w:rsid w:val="147F06FA"/>
    <w:rsid w:val="153D423A"/>
    <w:rsid w:val="15BC51D0"/>
    <w:rsid w:val="15EE1AB0"/>
    <w:rsid w:val="163F5E96"/>
    <w:rsid w:val="16484B09"/>
    <w:rsid w:val="16982109"/>
    <w:rsid w:val="16C972F7"/>
    <w:rsid w:val="17284D40"/>
    <w:rsid w:val="17905ABF"/>
    <w:rsid w:val="17D303F8"/>
    <w:rsid w:val="18245B8A"/>
    <w:rsid w:val="18EA0E1D"/>
    <w:rsid w:val="191E313C"/>
    <w:rsid w:val="19283ED8"/>
    <w:rsid w:val="19693515"/>
    <w:rsid w:val="19EA3B98"/>
    <w:rsid w:val="1A770145"/>
    <w:rsid w:val="1B53513A"/>
    <w:rsid w:val="1BB55EDA"/>
    <w:rsid w:val="1BF930E0"/>
    <w:rsid w:val="1CC66FD6"/>
    <w:rsid w:val="1E621B54"/>
    <w:rsid w:val="1EC82864"/>
    <w:rsid w:val="1F6C42B4"/>
    <w:rsid w:val="1F6E6986"/>
    <w:rsid w:val="1FE96967"/>
    <w:rsid w:val="1FEB07F3"/>
    <w:rsid w:val="20AC3785"/>
    <w:rsid w:val="20C078D1"/>
    <w:rsid w:val="20F36B03"/>
    <w:rsid w:val="20FD24EF"/>
    <w:rsid w:val="21470C41"/>
    <w:rsid w:val="214F28A7"/>
    <w:rsid w:val="21C421B9"/>
    <w:rsid w:val="21DB2E2F"/>
    <w:rsid w:val="22216F30"/>
    <w:rsid w:val="224336C4"/>
    <w:rsid w:val="22520B72"/>
    <w:rsid w:val="226F0598"/>
    <w:rsid w:val="22731D60"/>
    <w:rsid w:val="228C512F"/>
    <w:rsid w:val="23ED5B34"/>
    <w:rsid w:val="241A7538"/>
    <w:rsid w:val="242277B9"/>
    <w:rsid w:val="25201BCB"/>
    <w:rsid w:val="2523005A"/>
    <w:rsid w:val="25455C7B"/>
    <w:rsid w:val="254A6BDC"/>
    <w:rsid w:val="259741CC"/>
    <w:rsid w:val="267D3D5B"/>
    <w:rsid w:val="269139B9"/>
    <w:rsid w:val="28116BC9"/>
    <w:rsid w:val="29192839"/>
    <w:rsid w:val="296A0851"/>
    <w:rsid w:val="29CB1835"/>
    <w:rsid w:val="2A076880"/>
    <w:rsid w:val="2A5B0EF7"/>
    <w:rsid w:val="2A5F52D9"/>
    <w:rsid w:val="2A640E75"/>
    <w:rsid w:val="2B0D2D3B"/>
    <w:rsid w:val="2CEB3B42"/>
    <w:rsid w:val="2F0102D7"/>
    <w:rsid w:val="2F080059"/>
    <w:rsid w:val="2F911A09"/>
    <w:rsid w:val="2FA104C8"/>
    <w:rsid w:val="301E74B1"/>
    <w:rsid w:val="3040768B"/>
    <w:rsid w:val="30EE084A"/>
    <w:rsid w:val="31275599"/>
    <w:rsid w:val="31C5103F"/>
    <w:rsid w:val="329B6C8B"/>
    <w:rsid w:val="32B414C3"/>
    <w:rsid w:val="331A5EE9"/>
    <w:rsid w:val="33896C50"/>
    <w:rsid w:val="341B75DD"/>
    <w:rsid w:val="3423140E"/>
    <w:rsid w:val="350905C4"/>
    <w:rsid w:val="378C3563"/>
    <w:rsid w:val="37A31B81"/>
    <w:rsid w:val="37C63EDC"/>
    <w:rsid w:val="38157429"/>
    <w:rsid w:val="383D2EA3"/>
    <w:rsid w:val="38673BED"/>
    <w:rsid w:val="395E4CED"/>
    <w:rsid w:val="3A6E2C85"/>
    <w:rsid w:val="3A723CB9"/>
    <w:rsid w:val="3B0A7B78"/>
    <w:rsid w:val="3C8522AD"/>
    <w:rsid w:val="3CC85738"/>
    <w:rsid w:val="3CE25471"/>
    <w:rsid w:val="3DF077C8"/>
    <w:rsid w:val="3E5F4DA3"/>
    <w:rsid w:val="3ECD1E54"/>
    <w:rsid w:val="3F264207"/>
    <w:rsid w:val="40072453"/>
    <w:rsid w:val="40C555E5"/>
    <w:rsid w:val="40CE194F"/>
    <w:rsid w:val="410247C8"/>
    <w:rsid w:val="415B7EF9"/>
    <w:rsid w:val="42434F4B"/>
    <w:rsid w:val="42FF6488"/>
    <w:rsid w:val="43B82221"/>
    <w:rsid w:val="44537DD0"/>
    <w:rsid w:val="445E6025"/>
    <w:rsid w:val="455A3A4D"/>
    <w:rsid w:val="45CF5FF3"/>
    <w:rsid w:val="462C3F1C"/>
    <w:rsid w:val="473D5ABA"/>
    <w:rsid w:val="47FD13BE"/>
    <w:rsid w:val="48760A68"/>
    <w:rsid w:val="487D61A0"/>
    <w:rsid w:val="49397393"/>
    <w:rsid w:val="49582D5B"/>
    <w:rsid w:val="49A86AEA"/>
    <w:rsid w:val="4A934A6C"/>
    <w:rsid w:val="4AE2150B"/>
    <w:rsid w:val="4B3B711E"/>
    <w:rsid w:val="4BCE6D16"/>
    <w:rsid w:val="4C264A42"/>
    <w:rsid w:val="4C5C0594"/>
    <w:rsid w:val="4C9E1172"/>
    <w:rsid w:val="4D36778E"/>
    <w:rsid w:val="4D7C1FCB"/>
    <w:rsid w:val="4DFA101E"/>
    <w:rsid w:val="4E066A0A"/>
    <w:rsid w:val="4E1E0D9F"/>
    <w:rsid w:val="4EA01F67"/>
    <w:rsid w:val="4F026050"/>
    <w:rsid w:val="4F7864A1"/>
    <w:rsid w:val="4F9161E8"/>
    <w:rsid w:val="4FD31363"/>
    <w:rsid w:val="50690289"/>
    <w:rsid w:val="51B73FDC"/>
    <w:rsid w:val="51E460AF"/>
    <w:rsid w:val="52E36725"/>
    <w:rsid w:val="53232D4F"/>
    <w:rsid w:val="53C86EE4"/>
    <w:rsid w:val="53F66B3F"/>
    <w:rsid w:val="550E618B"/>
    <w:rsid w:val="56CD441D"/>
    <w:rsid w:val="574911F6"/>
    <w:rsid w:val="57492232"/>
    <w:rsid w:val="57B0686A"/>
    <w:rsid w:val="596B1962"/>
    <w:rsid w:val="59F01437"/>
    <w:rsid w:val="5A591E43"/>
    <w:rsid w:val="5B3364C7"/>
    <w:rsid w:val="5B801677"/>
    <w:rsid w:val="5B9C3270"/>
    <w:rsid w:val="5BAF49E3"/>
    <w:rsid w:val="5BEB39C3"/>
    <w:rsid w:val="5C422DE0"/>
    <w:rsid w:val="5D665E1D"/>
    <w:rsid w:val="5E855AB2"/>
    <w:rsid w:val="5E94065D"/>
    <w:rsid w:val="5F11084A"/>
    <w:rsid w:val="5F770A3E"/>
    <w:rsid w:val="5FA546DF"/>
    <w:rsid w:val="605A1276"/>
    <w:rsid w:val="60BB30D7"/>
    <w:rsid w:val="6150084E"/>
    <w:rsid w:val="61681800"/>
    <w:rsid w:val="626F73FE"/>
    <w:rsid w:val="6338290A"/>
    <w:rsid w:val="63385793"/>
    <w:rsid w:val="635C6999"/>
    <w:rsid w:val="63F67F5B"/>
    <w:rsid w:val="644A56F5"/>
    <w:rsid w:val="644F1F04"/>
    <w:rsid w:val="64561D4A"/>
    <w:rsid w:val="64A37665"/>
    <w:rsid w:val="64A62913"/>
    <w:rsid w:val="64A94930"/>
    <w:rsid w:val="64BB4E3B"/>
    <w:rsid w:val="64C87EA7"/>
    <w:rsid w:val="64CF2E42"/>
    <w:rsid w:val="659843D8"/>
    <w:rsid w:val="66453F30"/>
    <w:rsid w:val="66537C71"/>
    <w:rsid w:val="680C5303"/>
    <w:rsid w:val="68AA38EE"/>
    <w:rsid w:val="68E625C5"/>
    <w:rsid w:val="6909539F"/>
    <w:rsid w:val="69853249"/>
    <w:rsid w:val="699821DB"/>
    <w:rsid w:val="69B4274B"/>
    <w:rsid w:val="69C626E5"/>
    <w:rsid w:val="6A061512"/>
    <w:rsid w:val="6A3B157C"/>
    <w:rsid w:val="6A52346B"/>
    <w:rsid w:val="6AD77BE4"/>
    <w:rsid w:val="6AEC2A8C"/>
    <w:rsid w:val="6B5F0752"/>
    <w:rsid w:val="6BB62448"/>
    <w:rsid w:val="6D5F7E82"/>
    <w:rsid w:val="6E5837B9"/>
    <w:rsid w:val="6F6E2E1C"/>
    <w:rsid w:val="706B5E48"/>
    <w:rsid w:val="70E54FD7"/>
    <w:rsid w:val="710035CC"/>
    <w:rsid w:val="71C60B93"/>
    <w:rsid w:val="71F13423"/>
    <w:rsid w:val="724951C2"/>
    <w:rsid w:val="731F4242"/>
    <w:rsid w:val="73E0548A"/>
    <w:rsid w:val="73EE378C"/>
    <w:rsid w:val="74AF5D38"/>
    <w:rsid w:val="755F23B6"/>
    <w:rsid w:val="75731A07"/>
    <w:rsid w:val="77282C77"/>
    <w:rsid w:val="77741BE4"/>
    <w:rsid w:val="780223B1"/>
    <w:rsid w:val="788B3B58"/>
    <w:rsid w:val="79264FF0"/>
    <w:rsid w:val="79A53AA0"/>
    <w:rsid w:val="7AA943E7"/>
    <w:rsid w:val="7B0217BC"/>
    <w:rsid w:val="7B51363A"/>
    <w:rsid w:val="7D432E1C"/>
    <w:rsid w:val="7D533003"/>
    <w:rsid w:val="7DA4234A"/>
    <w:rsid w:val="7E4B1882"/>
    <w:rsid w:val="7E6B53A5"/>
    <w:rsid w:val="7EAB031D"/>
    <w:rsid w:val="7EFF23AC"/>
    <w:rsid w:val="7F373656"/>
    <w:rsid w:val="7F70120C"/>
  </w:rsids>
  <m:mathPr>
    <m:lMargin m:val="0"/>
    <m:mathFont m:val="Cambria Math"/>
    <m:rMargin m:val="0"/>
    <m:wrapIndent m:val="1440"/>
    <m:brkBin m:val="before"/>
    <m:brkBinSub m:val="--"/>
    <m:defJc m:val="centerGroup"/>
    <m:intLim m:val="subSup"/>
    <m:naryLim m:val="undOvr"/>
    <m:smallFrac m:val="0"/>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semiHidden="0"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semiHidden="0"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unhideWhenUsed/>
    <w:qFormat/>
    <w:uiPriority w:val="9"/>
    <w:pPr>
      <w:keepNext/>
      <w:keepLines/>
      <w:spacing w:before="260" w:after="260" w:line="416" w:lineRule="auto"/>
      <w:outlineLvl w:val="1"/>
    </w:pPr>
    <w:rPr>
      <w:rFonts w:ascii="Cambria" w:hAnsi="Cambria"/>
      <w:b/>
      <w:bCs/>
      <w:kern w:val="0"/>
      <w:sz w:val="32"/>
      <w:szCs w:val="32"/>
    </w:rPr>
  </w:style>
  <w:style w:type="character" w:default="1" w:styleId="7">
    <w:name w:val="Default Paragraph Font"/>
    <w:unhideWhenUsed/>
    <w:qFormat/>
    <w:uiPriority w:val="1"/>
  </w:style>
  <w:style w:type="table" w:default="1" w:styleId="9">
    <w:name w:val="Normal Table"/>
    <w:unhideWhenUsed/>
    <w:qFormat/>
    <w:uiPriority w:val="99"/>
    <w:tblPr>
      <w:tblLayout w:type="fixed"/>
      <w:tblCellMar>
        <w:top w:w="0" w:type="dxa"/>
        <w:left w:w="108" w:type="dxa"/>
        <w:bottom w:w="0" w:type="dxa"/>
        <w:right w:w="108" w:type="dxa"/>
      </w:tblCellMar>
    </w:tblPr>
  </w:style>
  <w:style w:type="paragraph" w:styleId="3">
    <w:name w:val="Plain Text"/>
    <w:basedOn w:val="1"/>
    <w:unhideWhenUsed/>
    <w:qFormat/>
    <w:uiPriority w:val="99"/>
    <w:rPr>
      <w:rFonts w:ascii="宋体" w:hAnsi="Courier New"/>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footnote text"/>
    <w:basedOn w:val="1"/>
    <w:link w:val="12"/>
    <w:qFormat/>
    <w:uiPriority w:val="0"/>
    <w:pPr>
      <w:snapToGrid w:val="0"/>
      <w:jc w:val="left"/>
    </w:pPr>
    <w:rPr>
      <w:rFonts w:ascii="Times New Roman" w:hAnsi="Times New Roman" w:eastAsia="宋体" w:cs="Times New Roman"/>
      <w:sz w:val="18"/>
      <w:szCs w:val="18"/>
    </w:rPr>
  </w:style>
  <w:style w:type="character" w:styleId="8">
    <w:name w:val="footnote reference"/>
    <w:qFormat/>
    <w:uiPriority w:val="0"/>
    <w:rPr>
      <w:vertAlign w:val="superscript"/>
    </w:rPr>
  </w:style>
  <w:style w:type="character" w:customStyle="1" w:styleId="10">
    <w:name w:val="页眉 Char"/>
    <w:basedOn w:val="7"/>
    <w:link w:val="5"/>
    <w:qFormat/>
    <w:uiPriority w:val="99"/>
    <w:rPr>
      <w:sz w:val="18"/>
      <w:szCs w:val="18"/>
    </w:rPr>
  </w:style>
  <w:style w:type="character" w:customStyle="1" w:styleId="11">
    <w:name w:val="页脚 Char"/>
    <w:basedOn w:val="7"/>
    <w:link w:val="4"/>
    <w:qFormat/>
    <w:uiPriority w:val="99"/>
    <w:rPr>
      <w:sz w:val="18"/>
      <w:szCs w:val="18"/>
    </w:rPr>
  </w:style>
  <w:style w:type="character" w:customStyle="1" w:styleId="12">
    <w:name w:val="脚注文本 Char"/>
    <w:basedOn w:val="7"/>
    <w:link w:val="6"/>
    <w:qFormat/>
    <w:uiPriority w:val="0"/>
    <w:rPr>
      <w:rFonts w:ascii="Times New Roman" w:hAnsi="Times New Roman" w:eastAsia="宋体" w:cs="Times New Roman"/>
      <w:sz w:val="18"/>
      <w:szCs w:val="18"/>
    </w:rPr>
  </w:style>
  <w:style w:type="paragraph" w:customStyle="1" w:styleId="13">
    <w:name w:val="样式 标题 2 + Times New Roman 四号 非加粗 段前: 5 磅 段后: 0 磅 行距: 固定值 20..."/>
    <w:basedOn w:val="2"/>
    <w:qFormat/>
    <w:uiPriority w:val="0"/>
    <w:pPr>
      <w:spacing w:before="100" w:after="0" w:line="400" w:lineRule="exact"/>
    </w:pPr>
    <w:rPr>
      <w:rFonts w:ascii="Times New Roman" w:hAnsi="Times New Roman" w:eastAsia="黑体" w:cs="宋体"/>
      <w:b w:val="0"/>
      <w:bCs w:val="0"/>
      <w:sz w:val="28"/>
      <w:szCs w:val="20"/>
    </w:rPr>
  </w:style>
  <w:style w:type="paragraph" w:customStyle="1" w:styleId="14">
    <w:name w:val="列出段落1"/>
    <w:qFormat/>
    <w:uiPriority w:val="34"/>
    <w:pPr>
      <w:widowControl w:val="0"/>
      <w:ind w:firstLine="200" w:firstLineChars="200"/>
      <w:jc w:val="both"/>
    </w:pPr>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D5871A2-CA46-4143-914E-4EF906E21B78}">
  <ds:schemaRefs/>
</ds:datastoreItem>
</file>

<file path=docProps/app.xml><?xml version="1.0" encoding="utf-8"?>
<Properties xmlns="http://schemas.openxmlformats.org/officeDocument/2006/extended-properties" xmlns:vt="http://schemas.openxmlformats.org/officeDocument/2006/docPropsVTypes">
  <Template>Normal.dotm</Template>
  <Company>Sky123.Org</Company>
  <Pages>7</Pages>
  <Words>772</Words>
  <Characters>4404</Characters>
  <Lines>36</Lines>
  <Paragraphs>10</Paragraphs>
  <ScaleCrop>false</ScaleCrop>
  <LinksUpToDate>false</LinksUpToDate>
  <CharactersWithSpaces>5166</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2017-04-17T04:11:00Z</dcterms:created>
  <dc:creator>Litie</dc:creator>
  <cp:lastModifiedBy>王波</cp:lastModifiedBy>
  <dcterms:modified xsi:type="dcterms:W3CDTF">2017-06-23T02:50:51Z</dcterms:modified>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ies>
</file>